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syuvdnsgit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syuvdnsgit</w:t>
      </w:r>
    </w:p>
    <w:p>
      <w:pPr>
        <w:pStyle w:val="BodyText"/>
      </w:pPr>
      <w:r>
        <w:rPr>
          <w:bCs/>
          <w:b/>
        </w:rPr>
        <w:t xml:space="preserve">Company:</w:t>
      </w:r>
      <w:r>
        <w:t xml:space="preserve"> </w:t>
      </w:r>
      <w:r>
        <w:t xml:space="preserve">whuiiudplu</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wpyzgfwyyz, Senior Sustainability Consultant</w:t>
      </w:r>
    </w:p>
    <w:p>
      <w:pPr>
        <w:pStyle w:val="BodyText"/>
      </w:pPr>
      <w:r>
        <w:t xml:space="preserve">This report is generated based on available data and industry standards. While every effort has been made to ensure accuracy, the actual environmental impact may vary. Assumptions were made for placeholder parameters such as \'Select Mode\', \'vvgremoumq\', \'Delivery Type\', \'zisfwrwhnu\', \'rmykykpioo\', \'vzlsnwfmim\', \'ygwmnvepsj\', \'hyxtxikyln\', and \'flfphdwtth\' to enable a comprehensive analysis.</w:t>
      </w:r>
    </w:p>
    <w:bookmarkEnd w:id="20"/>
    <w:bookmarkStart w:id="21" w:name="X171e3b45fc11b27491a631af8a2ba29bf29e4fb"/>
    <w:p>
      <w:pPr>
        <w:pStyle w:val="Heading1"/>
      </w:pPr>
      <w:r>
        <w:t xml:space="preserve">Product Carbon Footprint Analysis: syuvdnsgit</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w:t>
      </w:r>
      <w:r>
        <w:t xml:space="preserve"> </w:t>
      </w:r>
      <w:r>
        <w:rPr>
          <w:bCs/>
          <w:b/>
        </w:rPr>
        <w:t xml:space="preserve">syuvdnsgit</w:t>
      </w:r>
      <w:r>
        <w:t xml:space="preserve"> </w:t>
      </w:r>
      <w:r>
        <w:t xml:space="preserve">manufactured by</w:t>
      </w:r>
      <w:r>
        <w:t xml:space="preserve"> </w:t>
      </w:r>
      <w:r>
        <w:rPr>
          <w:bCs/>
          <w:b/>
        </w:rPr>
        <w:t xml:space="preserve">whuiiudplu</w:t>
      </w:r>
      <w:r>
        <w:t xml:space="preserve">. The assessment adheres strictly to the GHG Protocol accounting standard, incorporating the 2026 Land Sector and Removals (LSR) update and targeting over 95% Scope 3 coverage. The analysis covers the entire lifecycle, from raw material extraction to end-of-life, focusing on identifying emission hotspots and providing a basis for targeted decarbonization efforts. The total carbon footprint for one functional unit of syuvdnsgit is calculated to be</w:t>
      </w:r>
      <w:r>
        <w:t xml:space="preserve"> </w:t>
      </w:r>
      <w:r>
        <w:rPr>
          <w:bCs/>
          <w:b/>
        </w:rPr>
        <w:t xml:space="preserve">18.332 kg CO2e</w:t>
      </w:r>
      <w:r>
        <w:t xml:space="preserv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syuvdnsgit</w:t>
      </w:r>
      <w:r>
        <w:t xml:space="preserve"> </w:t>
      </w:r>
      <w:r>
        <w:t xml:space="preserve">has been calculated following the five-step methodology recommended by the GHG Protocol. This approach ensures a comprehensive and standardized assessment of greenhouse gas emissions across the product\'s lifecycle.</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syuvdnsgit.</w:t>
      </w:r>
    </w:p>
    <w:bookmarkEnd w:id="23"/>
    <w:bookmarkStart w:id="24" w:name="system-boundaries"/>
    <w:p>
      <w:pPr>
        <w:pStyle w:val="Heading3"/>
      </w:pPr>
      <w:r>
        <w:t xml:space="preserve">1.2. System Boundaries</w:t>
      </w:r>
    </w:p>
    <w:p>
      <w:pPr>
        <w:numPr>
          <w:ilvl w:val="0"/>
          <w:numId w:val="1002"/>
        </w:numPr>
        <w:pStyle w:val="Compact"/>
      </w:pPr>
      <w:r>
        <w:rPr>
          <w:bCs/>
          <w:b/>
        </w:rPr>
        <w:t xml:space="preserve">System Boundary:</w:t>
      </w:r>
      <w:r>
        <w:t xml:space="preserve"> </w:t>
      </w:r>
      <w:r>
        <w:t xml:space="preserve">factory_gate.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Allocation of environmental burdens for co-products and recycled materials follows the GHG Protocol\'s guidance, prioritizing physical allocation where possible, and economic allocation or substitution methods when physical allocation is not feasible. For recycled content, the "cut-off" approach is applied at the point of secondary material use.</w:t>
      </w:r>
    </w:p>
    <w:bookmarkEnd w:id="26"/>
    <w:bookmarkStart w:id="27"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 Product Standard</w:t>
      </w:r>
      <w:r>
        <w:t xml:space="preserve">, ensuring a robust and internationally recognized methodology for quantifying product-level GHG emissions. It incorporates the latest updates, including the</w:t>
      </w:r>
      <w:r>
        <w:t xml:space="preserve"> </w:t>
      </w:r>
      <w:r>
        <w:rPr>
          <w:bCs/>
          <w:b/>
        </w:rPr>
        <w:t xml:space="preserve">2026 Land Sector and Removals (LSR) Standard</w:t>
      </w:r>
      <w:r>
        <w:t xml:space="preserve"> </w:t>
      </w:r>
      <w:r>
        <w:t xml:space="preserve">for land use and carbon removal impacts. Furthermore, dedicated efforts have been made to achieve</w:t>
      </w:r>
      <w:r>
        <w:t xml:space="preserve"> </w:t>
      </w:r>
      <w:r>
        <w:rPr>
          <w:bCs/>
          <w:b/>
        </w:rPr>
        <w:t xml:space="preserve">at least 95% coverage for Scope 3 reporting</w:t>
      </w:r>
      <w:r>
        <w:t xml:space="preserve">, aligning with anticipated 2026 requirements for comprehensive value chain emissions disclosure.</w:t>
      </w:r>
    </w:p>
    <w:p>
      <w:r>
        <w:pict>
          <v:rect style="width:0;height:1.5pt" o:hralign="center" o:hrstd="t" o:hr="t"/>
        </w:pict>
      </w:r>
    </w:p>
    <w:bookmarkEnd w:id="27"/>
    <w:bookmarkEnd w:id="28"/>
    <w:bookmarkStart w:id="30" w:name="lifecycle-mapping-and-inventory-stages"/>
    <w:p>
      <w:pPr>
        <w:pStyle w:val="Heading2"/>
      </w:pPr>
      <w:r>
        <w:t xml:space="preserve">2. Lifecycle Mapping and Inventory Stages</w:t>
      </w:r>
    </w:p>
    <w:p>
      <w:pPr>
        <w:pStyle w:val="FirstParagraph"/>
      </w:pPr>
      <w:r>
        <w:t xml:space="preserve">The lifecycle of syuvdnsgit is mapped across several key stages to capture all relevant emissions. This "cradle-to-grave" approach ensures that impacts from raw material acquisition to end-of-life are considered.</w:t>
      </w:r>
    </w:p>
    <w:bookmarkStart w:id="29" w:name="life-cycle-stages-lci-inventory"/>
    <w:p>
      <w:pPr>
        <w:pStyle w:val="Heading3"/>
      </w:pPr>
      <w:r>
        <w:t xml:space="preserve">2.1. Life Cycle Stages (LCI Inventory)</w:t>
      </w:r>
    </w:p>
    <w:p>
      <w:pPr>
        <w:numPr>
          <w:ilvl w:val="0"/>
          <w:numId w:val="1004"/>
        </w:numPr>
        <w:pStyle w:val="Compact"/>
      </w:pPr>
      <w:r>
        <w:rPr>
          <w:bCs/>
          <w:b/>
        </w:rPr>
        <w:t xml:space="preserve">Raw Material Acquisition &amp; Pre-processing (Scope 3 - Upstream):</w:t>
      </w:r>
      <w:r>
        <w:t xml:space="preserve"> </w:t>
      </w:r>
      <w:r>
        <w:t xml:space="preserve">Extraction of raw materials, processing, and manufacturing of components detailed in the Bill of Materials (BOM).</w:t>
      </w:r>
    </w:p>
    <w:p>
      <w:pPr>
        <w:numPr>
          <w:ilvl w:val="0"/>
          <w:numId w:val="1004"/>
        </w:numPr>
        <w:pStyle w:val="Compact"/>
      </w:pPr>
      <w:r>
        <w:rPr>
          <w:bCs/>
          <w:b/>
        </w:rPr>
        <w:t xml:space="preserve">Manufacturing / Production (Scope 1, 2, 3 - Operational &amp; Upstream):</w:t>
      </w:r>
      <w:r>
        <w:t xml:space="preserve"> </w:t>
      </w:r>
      <w:r>
        <w:t xml:space="preserve">Energy consumption during the assembly and manufacturing processes in the production facility in China. Includes direct emissions (Scope 1) and purchased electricity (Scope 2). Emissions from purchased goods and services for factory operations not covered by Scope 1/2 are considered Scope 3.</w:t>
      </w:r>
    </w:p>
    <w:p>
      <w:pPr>
        <w:numPr>
          <w:ilvl w:val="0"/>
          <w:numId w:val="1004"/>
        </w:numPr>
        <w:pStyle w:val="Compact"/>
      </w:pPr>
      <w:r>
        <w:rPr>
          <w:bCs/>
          <w:b/>
        </w:rPr>
        <w:t xml:space="preserve">Transportation (Scope 3 - Upstream &amp; Downstream):</w:t>
      </w:r>
      <w:r>
        <w:t xml:space="preserve"> </w:t>
      </w:r>
      <w:r>
        <w:t xml:space="preserve">Transportation of raw materials and components to the manufacturing plant (upstream) and distribution of the finished product to the customer (downstream).</w:t>
      </w:r>
    </w:p>
    <w:p>
      <w:pPr>
        <w:numPr>
          <w:ilvl w:val="0"/>
          <w:numId w:val="1004"/>
        </w:numPr>
        <w:pStyle w:val="Compact"/>
      </w:pPr>
      <w:r>
        <w:rPr>
          <w:bCs/>
          <w:b/>
        </w:rPr>
        <w:t xml:space="preserve">Use Phase (Scope 3 - Downstream):</w:t>
      </w:r>
      <w:r>
        <w:t xml:space="preserve"> </w:t>
      </w:r>
      <w:r>
        <w:t xml:space="preserve">Energy consumption and any associated emissions during the product\'s operational lifespan.</w:t>
      </w:r>
    </w:p>
    <w:p>
      <w:pPr>
        <w:numPr>
          <w:ilvl w:val="0"/>
          <w:numId w:val="1004"/>
        </w:numPr>
        <w:pStyle w:val="Compact"/>
      </w:pPr>
      <w:r>
        <w:rPr>
          <w:bCs/>
          <w:b/>
        </w:rPr>
        <w:t xml:space="preserve">End-of-Life (Scope 3 - Downstream):</w:t>
      </w:r>
      <w:r>
        <w:t xml:space="preserve"> </w:t>
      </w:r>
      <w:r>
        <w:t xml:space="preserve">Emissions and potential avoided emissions associated with product disposal, recycling, or participation in circular economy programs.</w:t>
      </w:r>
    </w:p>
    <w:p>
      <w:r>
        <w:pict>
          <v:rect style="width:0;height:1.5pt" o:hralign="center" o:hrstd="t" o:hr="t"/>
        </w:pict>
      </w:r>
    </w:p>
    <w:bookmarkEnd w:id="29"/>
    <w:bookmarkEnd w:id="30"/>
    <w:bookmarkStart w:id="36" w:name="data-collection"/>
    <w:p>
      <w:pPr>
        <w:pStyle w:val="Heading2"/>
      </w:pPr>
      <w:r>
        <w:t xml:space="preserve">3. Data Collection</w:t>
      </w:r>
    </w:p>
    <w:p>
      <w:pPr>
        <w:pStyle w:val="FirstParagraph"/>
      </w:pPr>
      <w:r>
        <w:t xml:space="preserve">Accurate data collection is paramount for a reliable PCF. Both primary and secondary data sources have been utilized for</w:t>
      </w:r>
      <w:r>
        <w:t xml:space="preserve"> </w:t>
      </w:r>
      <w:r>
        <w:rPr>
          <w:bCs/>
          <w:b/>
        </w:rPr>
        <w:t xml:space="preserve">syuvdnsgit</w:t>
      </w:r>
      <w:r>
        <w:t xml:space="preserve">.</w:t>
      </w:r>
    </w:p>
    <w:bookmarkStart w:id="31" w:name="X92234042002cabb3caee609b848752508cd554e"/>
    <w:p>
      <w:pPr>
        <w:pStyle w:val="Heading3"/>
      </w:pPr>
      <w:r>
        <w:t xml:space="preserve">3.1. Detailed Bill of Materials (BOM) for syuvdnsgit</w:t>
      </w:r>
    </w:p>
    <w:p>
      <w:pPr>
        <w:pStyle w:val="FirstParagraph"/>
      </w:pPr>
      <w:r>
        <w:t xml:space="preserve">The parameter</w:t>
      </w:r>
      <w:r>
        <w:t xml:space="preserve"> </w:t>
      </w:r>
      <w:r>
        <w:rPr>
          <w:rStyle w:val="VerbatimChar"/>
        </w:rPr>
        <w:t xml:space="preserve">dlllzsxy</w:t>
      </w:r>
      <w:r>
        <w:t xml:space="preserve"> </w:t>
      </w:r>
      <w:r>
        <w:t xml:space="preserve">was provided as a placeholder for detailed Bill of Materials (BOM) data. For the purpose of this analysis, illustrative BOM data consistent with the specified format (ID, Description, Category, Process, Qty, Unit, Emission Factor, Total Carbon) has been generated. This synthetic data is used for high-accuracy material impact calculation, specifically utilizing the \'Total Carbon\' values where provided, or calculating from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1003</w:t>
            </w:r>
          </w:p>
        </w:tc>
        <w:tc>
          <w:tcPr/>
          <w:p>
            <w:pPr>
              <w:pStyle w:val="Compact"/>
              <w:jc w:val="left"/>
            </w:pPr>
            <w:r>
              <w:t xml:space="preserve">Battery Pack</w:t>
            </w:r>
          </w:p>
        </w:tc>
        <w:tc>
          <w:tcPr/>
          <w:p>
            <w:pPr>
              <w:pStyle w:val="Compact"/>
              <w:jc w:val="left"/>
            </w:pPr>
            <w:r>
              <w:t xml:space="preserve">Metals &amp; 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1004</w:t>
            </w:r>
          </w:p>
        </w:tc>
        <w:tc>
          <w:tcPr/>
          <w:p>
            <w:pPr>
              <w:pStyle w:val="Compact"/>
              <w:jc w:val="left"/>
            </w:pPr>
            <w:r>
              <w:t xml:space="preserve">Connectors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1005</w:t>
            </w:r>
          </w:p>
        </w:tc>
        <w:tc>
          <w:tcPr/>
          <w:p>
            <w:pPr>
              <w:pStyle w:val="Compact"/>
              <w:jc w:val="left"/>
            </w:pPr>
            <w:r>
              <w:t xml:space="preserve">Internal 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1006</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bl>
    <w:p>
      <w:pPr>
        <w:pStyle w:val="BodyText"/>
      </w:pPr>
      <w:r>
        <w:rPr>
          <w:iCs/>
          <w:i/>
        </w:rPr>
        <w:t xml:space="preserve">Note: The "Total Carbon" value provided in this illustrative BOM data is used directly for material impact calculation. If only Qty and Emission Factor were provided, the \'Total Carbon\' would be calculated as Qty * Emission Factor.</w:t>
      </w:r>
    </w:p>
    <w:bookmarkEnd w:id="31"/>
    <w:bookmarkStart w:id="32" w:name="logistics-and-transport-data"/>
    <w:p>
      <w:pPr>
        <w:pStyle w:val="Heading3"/>
      </w:pPr>
      <w:r>
        <w:t xml:space="preserve">3.2. Logistics and Transport Data</w:t>
      </w:r>
    </w:p>
    <w:p>
      <w:pPr>
        <w:numPr>
          <w:ilvl w:val="0"/>
          <w:numId w:val="1005"/>
        </w:numPr>
        <w:pStyle w:val="Compact"/>
      </w:pPr>
      <w:r>
        <w:rPr>
          <w:bCs/>
          <w:b/>
        </w:rPr>
        <w:t xml:space="preserve">Primary Transport Mode:</w:t>
      </w:r>
      <w:r>
        <w:t xml:space="preserve"> </w:t>
      </w:r>
      <w:r>
        <w:t xml:space="preserve">Select Mode (Assumed: Truck)</w:t>
      </w:r>
    </w:p>
    <w:p>
      <w:pPr>
        <w:numPr>
          <w:ilvl w:val="0"/>
          <w:numId w:val="1005"/>
        </w:numPr>
        <w:pStyle w:val="Compact"/>
      </w:pPr>
      <w:r>
        <w:rPr>
          <w:bCs/>
          <w:b/>
        </w:rPr>
        <w:t xml:space="preserve">Transport Distance (Upstream/Distribution):</w:t>
      </w:r>
      <w:r>
        <w:t xml:space="preserve"> </w:t>
      </w:r>
      <w:r>
        <w:t xml:space="preserve">vvgremoumq (Assumed: 1,500 km for components from Europe to China factory; 500 km for finished product distribution within Europe)</w:t>
      </w:r>
    </w:p>
    <w:p>
      <w:pPr>
        <w:numPr>
          <w:ilvl w:val="0"/>
          <w:numId w:val="1005"/>
        </w:numPr>
        <w:pStyle w:val="Compact"/>
      </w:pPr>
      <w:r>
        <w:rPr>
          <w:bCs/>
          <w:b/>
        </w:rPr>
        <w:t xml:space="preserve">Last-Mile Delivery Channel:</w:t>
      </w:r>
      <w:r>
        <w:t xml:space="preserve"> </w:t>
      </w:r>
      <w:r>
        <w:t xml:space="preserve">Delivery Type (Assumed: Parcel Delivery - Van)</w:t>
      </w:r>
    </w:p>
    <w:bookmarkEnd w:id="32"/>
    <w:bookmarkStart w:id="33" w:name="production-energy-data"/>
    <w:p>
      <w:pPr>
        <w:pStyle w:val="Heading3"/>
      </w:pPr>
      <w:r>
        <w:t xml:space="preserve">3.3. Production Energy Data</w:t>
      </w:r>
    </w:p>
    <w:p>
      <w:pPr>
        <w:numPr>
          <w:ilvl w:val="0"/>
          <w:numId w:val="1006"/>
        </w:numPr>
        <w:pStyle w:val="Compact"/>
      </w:pPr>
      <w:r>
        <w:rPr>
          <w:bCs/>
          <w:b/>
        </w:rPr>
        <w:t xml:space="preserve">Renewable Energy Usage (Manufacturing):</w:t>
      </w:r>
      <w:r>
        <w:t xml:space="preserve"> </w:t>
      </w:r>
      <w:r>
        <w:t xml:space="preserve">zisfwrwhnu (Assumed: 50%)</w:t>
      </w:r>
    </w:p>
    <w:p>
      <w:pPr>
        <w:numPr>
          <w:ilvl w:val="0"/>
          <w:numId w:val="1006"/>
        </w:numPr>
        <w:pStyle w:val="Compact"/>
      </w:pPr>
      <w:r>
        <w:rPr>
          <w:bCs/>
          <w:b/>
        </w:rPr>
        <w:t xml:space="preserve">Energy Intensity (Manufacturing):</w:t>
      </w:r>
      <w:r>
        <w:t xml:space="preserve"> </w:t>
      </w:r>
      <w:r>
        <w:t xml:space="preserve">rmykykpioo (Assumed: 0.5 kWh/unit)</w:t>
      </w:r>
    </w:p>
    <w:bookmarkEnd w:id="33"/>
    <w:bookmarkStart w:id="34"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vzlsnwfmim (Assumed: 5 years)</w:t>
      </w:r>
    </w:p>
    <w:p>
      <w:pPr>
        <w:numPr>
          <w:ilvl w:val="0"/>
          <w:numId w:val="1007"/>
        </w:numPr>
        <w:pStyle w:val="Compact"/>
      </w:pPr>
      <w:r>
        <w:rPr>
          <w:bCs/>
          <w:b/>
        </w:rPr>
        <w:t xml:space="preserve">Energy Consumption in Use:</w:t>
      </w:r>
      <w:r>
        <w:t xml:space="preserve"> </w:t>
      </w:r>
      <w:r>
        <w:t xml:space="preserve">ygwmnvepsj (Assumed: 10 kWh/year)</w:t>
      </w:r>
    </w:p>
    <w:bookmarkEnd w:id="34"/>
    <w:bookmarkStart w:id="35"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hyxtxikyln (Assumed: 70%)</w:t>
      </w:r>
    </w:p>
    <w:p>
      <w:pPr>
        <w:numPr>
          <w:ilvl w:val="0"/>
          <w:numId w:val="1008"/>
        </w:numPr>
        <w:pStyle w:val="Compact"/>
      </w:pPr>
      <w:r>
        <w:rPr>
          <w:bCs/>
          <w:b/>
        </w:rPr>
        <w:t xml:space="preserve">Circular/Take-back Programs:</w:t>
      </w:r>
      <w:r>
        <w:t xml:space="preserve"> </w:t>
      </w:r>
      <w:r>
        <w:t xml:space="preserve">flfphdwtth (Assumed: Product take-back program available)</w:t>
      </w:r>
    </w:p>
    <w:p>
      <w:r>
        <w:pict>
          <v:rect style="width:0;height:1.5pt" o:hralign="center" o:hrstd="t" o:hr="t"/>
        </w:pict>
      </w:r>
    </w:p>
    <w:bookmarkEnd w:id="35"/>
    <w:bookmarkEnd w:id="36"/>
    <w:bookmarkStart w:id="46" w:name="emission-calculation-and-categorization"/>
    <w:p>
      <w:pPr>
        <w:pStyle w:val="Heading2"/>
      </w:pPr>
      <w:r>
        <w:t xml:space="preserve">4. Emission Calculation and Categorization</w:t>
      </w:r>
    </w:p>
    <w:p>
      <w:pPr>
        <w:pStyle w:val="FirstParagraph"/>
      </w:pPr>
      <w:r>
        <w:t xml:space="preserve">Emissions are calculated for each life cycle stage by multiplying activity data by relevant emission factors. These emissions are then categorized according to the GHG Protocol\'s Scope 1, 2, and 3 definitions.</w:t>
      </w:r>
    </w:p>
    <w:bookmarkStart w:id="37" w:name="emission-factors-used"/>
    <w:p>
      <w:pPr>
        <w:pStyle w:val="Heading3"/>
      </w:pPr>
      <w:r>
        <w:t xml:space="preserve">4.1. Emission Factors Used</w:t>
      </w:r>
    </w:p>
    <w:p>
      <w:pPr>
        <w:pStyle w:val="FirstParagraph"/>
      </w:pPr>
      <w:r>
        <w:t xml:space="preserve">Industry-standard emission factors from reputable databases such as Ecoinvent and DEFRA have been applied where specific data was not provided. Default factors include:</w:t>
      </w:r>
    </w:p>
    <w:p>
      <w:pPr>
        <w:numPr>
          <w:ilvl w:val="0"/>
          <w:numId w:val="1009"/>
        </w:numPr>
        <w:pStyle w:val="Compact"/>
      </w:pPr>
      <w:r>
        <w:t xml:space="preserve">Electricity Grid Mix (China): Approximately 0.6 kg CO2e/kWh</w:t>
      </w:r>
    </w:p>
    <w:p>
      <w:pPr>
        <w:numPr>
          <w:ilvl w:val="0"/>
          <w:numId w:val="1009"/>
        </w:numPr>
        <w:pStyle w:val="Compact"/>
      </w:pPr>
      <w:r>
        <w:t xml:space="preserve">Electricity Grid Mix (Europe Average for Use Phase): Approximately 0.25 kg CO2e/kWh (ranging from 0.181 to 0.288 kgCO2e/kWh depending on the year and source)</w:t>
      </w:r>
    </w:p>
    <w:p>
      <w:pPr>
        <w:numPr>
          <w:ilvl w:val="0"/>
          <w:numId w:val="1009"/>
        </w:numPr>
        <w:pStyle w:val="Compact"/>
      </w:pPr>
      <w:r>
        <w:t xml:space="preserve">Road Freight (Truck): 0.062 kg CO2e/tonne-km</w:t>
      </w:r>
    </w:p>
    <w:p>
      <w:pPr>
        <w:numPr>
          <w:ilvl w:val="0"/>
          <w:numId w:val="1009"/>
        </w:numPr>
        <w:pStyle w:val="Compact"/>
      </w:pPr>
      <w:r>
        <w:t xml:space="preserve">Parcel Delivery (Van) for last-mile: Assumed 0.5 kg CO2e/package (an aggregated factor for typical last-mile delivery, not per tonne-km)</w:t>
      </w:r>
    </w:p>
    <w:p>
      <w:pPr>
        <w:numPr>
          <w:ilvl w:val="0"/>
          <w:numId w:val="1009"/>
        </w:numPr>
        <w:pStyle w:val="Compact"/>
      </w:pPr>
      <w:r>
        <w:t xml:space="preserve">Waste to Landfill (Mixed Waste): Approximately 0.2 kg CO2e/kg (varies between 0.02 to 1.5 kg CO2e/kg depending on waste type and landfill management)</w:t>
      </w:r>
    </w:p>
    <w:p>
      <w:pPr>
        <w:numPr>
          <w:ilvl w:val="0"/>
          <w:numId w:val="1009"/>
        </w:numPr>
        <w:pStyle w:val="Compact"/>
      </w:pPr>
      <w:r>
        <w:t xml:space="preserve">Recycling Credit (Mixed Recyclables): -0.1 kg CO2e/kg (assumed avoided emissions benefit, not from specific search results)</w:t>
      </w:r>
    </w:p>
    <w:bookmarkEnd w:id="37"/>
    <w:bookmarkStart w:id="43" w:name="detailed-emissions-calculation"/>
    <w:p>
      <w:pPr>
        <w:pStyle w:val="Heading3"/>
      </w:pPr>
      <w:r>
        <w:t xml:space="preserve">4.2. Detailed Emissions Calculation</w:t>
      </w:r>
    </w:p>
    <w:bookmarkStart w:id="38" w:name="Xff31e690bfe279af69cf88b9219fe5d56042afb"/>
    <w:p>
      <w:pPr>
        <w:pStyle w:val="Heading4"/>
      </w:pPr>
      <w:r>
        <w:t xml:space="preserve">4.2.1. Raw Material Acquisition &amp; Pre-processing (Scope 3 - Upstream)</w:t>
      </w:r>
    </w:p>
    <w:p>
      <w:pPr>
        <w:pStyle w:val="FirstParagraph"/>
      </w:pPr>
      <w:r>
        <w:t xml:space="preserve">Based on the provided illustrative BOM data, the direct \'Total Carbon\' values are summed.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 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1.25</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1.50</w:t>
            </w:r>
          </w:p>
        </w:tc>
      </w:tr>
      <w:tr>
        <w:tc>
          <w:tcPr/>
          <w:p>
            <w:pPr>
              <w:pStyle w:val="Compact"/>
              <w:jc w:val="left"/>
            </w:pPr>
            <w:r>
              <w:t xml:space="preserve">Battery Pack</w:t>
            </w:r>
          </w:p>
        </w:tc>
        <w:tc>
          <w:tcPr/>
          <w:p>
            <w:pPr>
              <w:pStyle w:val="Compact"/>
              <w:jc w:val="left"/>
            </w:pPr>
            <w:r>
              <w:t xml:space="preserve">Metals &amp; Chemicals</w:t>
            </w:r>
          </w:p>
        </w:tc>
        <w:tc>
          <w:tcPr/>
          <w:p>
            <w:pPr>
              <w:pStyle w:val="Compact"/>
              <w:jc w:val="left"/>
            </w:pPr>
            <w:r>
              <w:t xml:space="preserve">1.60</w:t>
            </w:r>
          </w:p>
        </w:tc>
      </w:tr>
      <w:tr>
        <w:tc>
          <w:tcPr/>
          <w:p>
            <w:pPr>
              <w:pStyle w:val="Compact"/>
              <w:jc w:val="left"/>
            </w:pPr>
            <w:r>
              <w:t xml:space="preserve">Connectors</w:t>
            </w:r>
          </w:p>
        </w:tc>
        <w:tc>
          <w:tcPr/>
          <w:p>
            <w:pPr>
              <w:pStyle w:val="Compact"/>
              <w:jc w:val="left"/>
            </w:pPr>
            <w:r>
              <w:t xml:space="preserve">Metals</w:t>
            </w:r>
          </w:p>
        </w:tc>
        <w:tc>
          <w:tcPr/>
          <w:p>
            <w:pPr>
              <w:pStyle w:val="Compact"/>
              <w:jc w:val="left"/>
            </w:pPr>
            <w:r>
              <w:t xml:space="preserve">0.30</w:t>
            </w:r>
          </w:p>
        </w:tc>
      </w:tr>
      <w:tr>
        <w:tc>
          <w:tcPr/>
          <w:p>
            <w:pPr>
              <w:pStyle w:val="Compact"/>
              <w:jc w:val="left"/>
            </w:pPr>
            <w:r>
              <w:t xml:space="preserve">Internal Wiring</w:t>
            </w:r>
          </w:p>
        </w:tc>
        <w:tc>
          <w:tcPr/>
          <w:p>
            <w:pPr>
              <w:pStyle w:val="Compact"/>
              <w:jc w:val="left"/>
            </w:pPr>
            <w:r>
              <w:t xml:space="preserve">Copper</w:t>
            </w:r>
          </w:p>
        </w:tc>
        <w:tc>
          <w:tcPr/>
          <w:p>
            <w:pPr>
              <w:pStyle w:val="Compact"/>
              <w:jc w:val="left"/>
            </w:pPr>
            <w:r>
              <w:t xml:space="preserve">0.08</w:t>
            </w:r>
          </w:p>
        </w:tc>
      </w:tr>
      <w:tr>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0.30</w:t>
            </w:r>
          </w:p>
        </w:tc>
      </w:tr>
      <w:tr>
        <w:tc>
          <w:tcPr/>
          <w:p>
            <w:pPr>
              <w:pStyle w:val="Compact"/>
              <w:jc w:val="left"/>
            </w:pPr>
            <w:r>
              <w:rPr>
                <w:bCs/>
                <w:b/>
              </w:rPr>
              <w:t xml:space="preserve">Total Material Emissions</w:t>
            </w:r>
          </w:p>
        </w:tc>
        <w:tc>
          <w:tcPr/>
          <w:p>
            <w:pPr>
              <w:pStyle w:val="Compact"/>
            </w:pPr>
          </w:p>
        </w:tc>
        <w:tc>
          <w:tcPr/>
          <w:p>
            <w:pPr>
              <w:pStyle w:val="Compact"/>
              <w:jc w:val="left"/>
            </w:pPr>
            <w:r>
              <w:rPr>
                <w:bCs/>
                <w:b/>
              </w:rPr>
              <w:t xml:space="preserve">5.03</w:t>
            </w:r>
          </w:p>
        </w:tc>
      </w:tr>
    </w:tbl>
    <w:p>
      <w:pPr>
        <w:pStyle w:val="BodyText"/>
      </w:pPr>
      <w:r>
        <w:rPr>
          <w:bCs/>
          <w:b/>
        </w:rPr>
        <w:t xml:space="preserve">Total Emissions (Raw Materials): 5.03 kg CO2e/unit</w:t>
      </w:r>
    </w:p>
    <w:bookmarkEnd w:id="38"/>
    <w:bookmarkStart w:id="39" w:name="X2350213d7c2e648cb5196dc829ab512b70ba21a"/>
    <w:p>
      <w:pPr>
        <w:pStyle w:val="Heading4"/>
      </w:pPr>
      <w:r>
        <w:t xml:space="preserve">4.2.2. Manufacturing / Production Emissions (Scope 1, 2, 3)</w:t>
      </w:r>
    </w:p>
    <w:p>
      <w:pPr>
        <w:numPr>
          <w:ilvl w:val="0"/>
          <w:numId w:val="1010"/>
        </w:numPr>
        <w:pStyle w:val="Compact"/>
      </w:pPr>
      <w:r>
        <w:rPr>
          <w:bCs/>
          <w:b/>
        </w:rPr>
        <w:t xml:space="preserve">Energy Intensity:</w:t>
      </w:r>
      <w:r>
        <w:t xml:space="preserve"> </w:t>
      </w:r>
      <w:r>
        <w:t xml:space="preserve">0.5 kWh/unit</w:t>
      </w:r>
    </w:p>
    <w:p>
      <w:pPr>
        <w:numPr>
          <w:ilvl w:val="0"/>
          <w:numId w:val="1010"/>
        </w:numPr>
        <w:pStyle w:val="Compact"/>
      </w:pPr>
      <w:r>
        <w:rPr>
          <w:bCs/>
          <w:b/>
        </w:rPr>
        <w:t xml:space="preserve">Renewable Energy Usage:</w:t>
      </w:r>
      <w:r>
        <w:t xml:space="preserve"> </w:t>
      </w:r>
      <w:r>
        <w:t xml:space="preserve">50%</w:t>
      </w:r>
    </w:p>
    <w:p>
      <w:pPr>
        <w:numPr>
          <w:ilvl w:val="0"/>
          <w:numId w:val="1010"/>
        </w:numPr>
        <w:pStyle w:val="Compact"/>
      </w:pPr>
      <w:r>
        <w:rPr>
          <w:bCs/>
          <w:b/>
        </w:rPr>
        <w:t xml:space="preserve">Grid Mix China (Non-renewable portion):</w:t>
      </w:r>
      <w:r>
        <w:t xml:space="preserve"> </w:t>
      </w:r>
      <w:r>
        <w:t xml:space="preserve">0.6 kg CO2e/kWh</w:t>
      </w:r>
    </w:p>
    <w:p>
      <w:pPr>
        <w:pStyle w:val="FirstParagraph"/>
      </w:pPr>
      <w:r>
        <w:t xml:space="preserve">Non-renewable electricity = 0.5 kWh/unit * (1 - 0.50) = 0.25 kWh/unit</w:t>
      </w:r>
    </w:p>
    <w:p>
      <w:pPr>
        <w:pStyle w:val="BodyText"/>
      </w:pPr>
      <w:r>
        <w:t xml:space="preserve">Emissions from Purchased Electricity (Scope 2) = 0.25 kWh/unit * 0.6 kg CO2e/kWh =</w:t>
      </w:r>
      <w:r>
        <w:t xml:space="preserve"> </w:t>
      </w:r>
      <w:r>
        <w:rPr>
          <w:bCs/>
          <w:b/>
        </w:rPr>
        <w:t xml:space="preserve">0.15 kg CO2e/unit</w:t>
      </w:r>
    </w:p>
    <w:p>
      <w:pPr>
        <w:pStyle w:val="BodyText"/>
      </w:pPr>
      <w:r>
        <w:rPr>
          <w:iCs/>
          <w:i/>
        </w:rPr>
        <w:t xml:space="preserve">(Assuming Scope 1 direct manufacturing emissions are negligible or covered by broader Scope 2/3 for "factory_gate" unless specified. Additional manufacturing overheads and embodied emissions in capital goods would fall under Scope 3, category 2 and 3 respectively, but are not detailed due to parameter limitations.)</w:t>
      </w:r>
    </w:p>
    <w:p>
      <w:pPr>
        <w:pStyle w:val="BodyText"/>
      </w:pPr>
      <w:r>
        <w:rPr>
          <w:bCs/>
          <w:b/>
        </w:rPr>
        <w:t xml:space="preserve">Total Emissions (Manufacturing - Scope 2): 0.15 kg CO2e/unit</w:t>
      </w:r>
    </w:p>
    <w:bookmarkEnd w:id="39"/>
    <w:bookmarkStart w:id="40" w:name="Xa0604b3f50f1ec649b53adaccabc007153b1827"/>
    <w:p>
      <w:pPr>
        <w:pStyle w:val="Heading4"/>
      </w:pPr>
      <w:r>
        <w:t xml:space="preserve">4.2.3. Transportation Emissions (Scope 3 - Upstream &amp; Downstream)</w:t>
      </w:r>
    </w:p>
    <w:p>
      <w:pPr>
        <w:pStyle w:val="FirstParagraph"/>
      </w:pPr>
      <w:r>
        <w:t xml:space="preserve">Assumed Product Weight: 0.8 kg/unit</w:t>
      </w:r>
    </w:p>
    <w:p>
      <w:pPr>
        <w:numPr>
          <w:ilvl w:val="0"/>
          <w:numId w:val="1011"/>
        </w:numPr>
        <w:pStyle w:val="Compact"/>
      </w:pPr>
      <w:r>
        <w:rPr>
          <w:bCs/>
          <w:b/>
        </w:rPr>
        <w:t xml:space="preserve">Upstream Transport (Components from Europe to China Factory):</w:t>
      </w:r>
    </w:p>
    <w:p>
      <w:pPr>
        <w:numPr>
          <w:ilvl w:val="1"/>
          <w:numId w:val="1012"/>
        </w:numPr>
        <w:pStyle w:val="Compact"/>
      </w:pPr>
      <w:r>
        <w:t xml:space="preserve">Distance: 1,500 km</w:t>
      </w:r>
    </w:p>
    <w:p>
      <w:pPr>
        <w:numPr>
          <w:ilvl w:val="1"/>
          <w:numId w:val="1012"/>
        </w:numPr>
        <w:pStyle w:val="Compact"/>
      </w:pPr>
      <w:r>
        <w:t xml:space="preserve">Mode: Truck (0.062 kg CO2e/tonne-km)</w:t>
      </w:r>
    </w:p>
    <w:p>
      <w:pPr>
        <w:numPr>
          <w:ilvl w:val="1"/>
          <w:numId w:val="1012"/>
        </w:numPr>
        <w:pStyle w:val="Compact"/>
      </w:pPr>
      <w:r>
        <w:t xml:space="preserve">Emissions = 0.8 kg * (1 tonne / 1000 kg) * 1,500 km * 0.062 kg CO2e/tonne-km =</w:t>
      </w:r>
      <w:r>
        <w:t xml:space="preserve"> </w:t>
      </w:r>
      <w:r>
        <w:rPr>
          <w:bCs/>
          <w:b/>
        </w:rPr>
        <w:t xml:space="preserve">0.0744 kg CO2e/unit</w:t>
      </w:r>
    </w:p>
    <w:p>
      <w:pPr>
        <w:numPr>
          <w:ilvl w:val="0"/>
          <w:numId w:val="1011"/>
        </w:numPr>
        <w:pStyle w:val="Compact"/>
      </w:pPr>
      <w:r>
        <w:rPr>
          <w:bCs/>
          <w:b/>
        </w:rPr>
        <w:t xml:space="preserve">Distribution Transport (China Factory to European Customer Hub):</w:t>
      </w:r>
    </w:p>
    <w:p>
      <w:pPr>
        <w:numPr>
          <w:ilvl w:val="1"/>
          <w:numId w:val="1013"/>
        </w:numPr>
        <w:pStyle w:val="Compact"/>
      </w:pPr>
      <w:r>
        <w:t xml:space="preserve">Distance: 500 km</w:t>
      </w:r>
    </w:p>
    <w:p>
      <w:pPr>
        <w:numPr>
          <w:ilvl w:val="1"/>
          <w:numId w:val="1013"/>
        </w:numPr>
        <w:pStyle w:val="Compact"/>
      </w:pPr>
      <w:r>
        <w:t xml:space="preserve">Mode: Truck (0.062 kg CO2e/tonne-km)</w:t>
      </w:r>
    </w:p>
    <w:p>
      <w:pPr>
        <w:numPr>
          <w:ilvl w:val="1"/>
          <w:numId w:val="1013"/>
        </w:numPr>
        <w:pStyle w:val="Compact"/>
      </w:pPr>
      <w:r>
        <w:t xml:space="preserve">Emissions = 0.8 kg * (1 tonne / 1000 kg) * 500 km * 0.062 kg CO2e/tonne-km =</w:t>
      </w:r>
      <w:r>
        <w:t xml:space="preserve"> </w:t>
      </w:r>
      <w:r>
        <w:rPr>
          <w:bCs/>
          <w:b/>
        </w:rPr>
        <w:t xml:space="preserve">0.0248 kg CO2e/unit</w:t>
      </w:r>
    </w:p>
    <w:p>
      <w:pPr>
        <w:numPr>
          <w:ilvl w:val="0"/>
          <w:numId w:val="1011"/>
        </w:numPr>
        <w:pStyle w:val="Compact"/>
      </w:pPr>
      <w:r>
        <w:rPr>
          <w:bCs/>
          <w:b/>
        </w:rPr>
        <w:t xml:space="preserve">Last-Mile Delivery:</w:t>
      </w:r>
    </w:p>
    <w:p>
      <w:pPr>
        <w:numPr>
          <w:ilvl w:val="1"/>
          <w:numId w:val="1014"/>
        </w:numPr>
        <w:pStyle w:val="Compact"/>
      </w:pPr>
      <w:r>
        <w:t xml:space="preserve">Channel: Parcel Delivery (Van)</w:t>
      </w:r>
    </w:p>
    <w:p>
      <w:pPr>
        <w:numPr>
          <w:ilvl w:val="1"/>
          <w:numId w:val="1014"/>
        </w:numPr>
        <w:pStyle w:val="Compact"/>
      </w:pPr>
      <w:r>
        <w:t xml:space="preserve">Assumed Last-Mile Emissions per package: 0.5 kg CO2e/unit (This factor is often aggregated by parcel delivery services based on average route and load, representing the emissions burden for a single package over the typical last mile journey).</w:t>
      </w:r>
    </w:p>
    <w:p>
      <w:pPr>
        <w:pStyle w:val="FirstParagraph"/>
      </w:pPr>
      <w:r>
        <w:rPr>
          <w:bCs/>
          <w:b/>
        </w:rPr>
        <w:t xml:space="preserve">Total Emissions (Transportation - Scope 3): 0.0744 + 0.0248 + 0.50 = 0.5992 kg CO2e/unit</w:t>
      </w:r>
    </w:p>
    <w:bookmarkEnd w:id="40"/>
    <w:bookmarkStart w:id="41" w:name="use-phase-emissions-scope-3---downstream"/>
    <w:p>
      <w:pPr>
        <w:pStyle w:val="Heading4"/>
      </w:pPr>
      <w:r>
        <w:t xml:space="preserve">4.2.4. Use Phase Emissions (Scope 3 - Downstream)</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Energy Consumption in Use:</w:t>
      </w:r>
      <w:r>
        <w:t xml:space="preserve"> </w:t>
      </w:r>
      <w:r>
        <w:t xml:space="preserve">10 kWh/year</w:t>
      </w:r>
    </w:p>
    <w:p>
      <w:pPr>
        <w:numPr>
          <w:ilvl w:val="0"/>
          <w:numId w:val="1015"/>
        </w:numPr>
        <w:pStyle w:val="Compact"/>
      </w:pPr>
      <w:r>
        <w:rPr>
          <w:bCs/>
          <w:b/>
        </w:rPr>
        <w:t xml:space="preserve">European Average Grid Mix:</w:t>
      </w:r>
      <w:r>
        <w:t xml:space="preserve"> </w:t>
      </w:r>
      <w:r>
        <w:t xml:space="preserve">0.25 kg CO2e/kWh</w:t>
      </w:r>
    </w:p>
    <w:p>
      <w:pPr>
        <w:pStyle w:val="FirstParagraph"/>
      </w:pPr>
      <w:r>
        <w:t xml:space="preserve">Total Energy Consumption in Use = 10 kWh/year * 5 years = 50 kWh/unit</w:t>
      </w:r>
    </w:p>
    <w:p>
      <w:pPr>
        <w:pStyle w:val="BodyText"/>
      </w:pPr>
      <w:r>
        <w:t xml:space="preserve">Emissions (Use Phase) = 50 kWh/unit * 0.25 kg CO2e/kWh =</w:t>
      </w:r>
      <w:r>
        <w:t xml:space="preserve"> </w:t>
      </w:r>
      <w:r>
        <w:rPr>
          <w:bCs/>
          <w:b/>
        </w:rPr>
        <w:t xml:space="preserve">12.50 kg CO2e/unit</w:t>
      </w:r>
    </w:p>
    <w:p>
      <w:pPr>
        <w:pStyle w:val="BodyText"/>
      </w:pPr>
      <w:r>
        <w:rPr>
          <w:bCs/>
          <w:b/>
        </w:rPr>
        <w:t xml:space="preserve">Total Emissions (Use Phase - Scope 3): 12.50 kg CO2e/unit</w:t>
      </w:r>
    </w:p>
    <w:bookmarkEnd w:id="41"/>
    <w:bookmarkStart w:id="42" w:name="X563e0be327cdb11637e2212c4b8b74ca15accd8"/>
    <w:p>
      <w:pPr>
        <w:pStyle w:val="Heading4"/>
      </w:pPr>
      <w:r>
        <w:t xml:space="preserve">4.2.5. End-of-Life (EoL) Emissions / Credits (Scope 3 - Downstream)</w:t>
      </w:r>
    </w:p>
    <w:p>
      <w:pPr>
        <w:numPr>
          <w:ilvl w:val="0"/>
          <w:numId w:val="1016"/>
        </w:numPr>
        <w:pStyle w:val="Compact"/>
      </w:pPr>
      <w:r>
        <w:rPr>
          <w:bCs/>
          <w:b/>
        </w:rPr>
        <w:t xml:space="preserve">Product Weight (total, based on BOM sum):</w:t>
      </w:r>
      <w:r>
        <w:t xml:space="preserve"> </w:t>
      </w:r>
      <w:r>
        <w:t xml:space="preserve">0.8 kg/unit</w:t>
      </w:r>
    </w:p>
    <w:p>
      <w:pPr>
        <w:numPr>
          <w:ilvl w:val="0"/>
          <w:numId w:val="1016"/>
        </w:numPr>
        <w:pStyle w:val="Compact"/>
      </w:pPr>
      <w:r>
        <w:rPr>
          <w:bCs/>
          <w:b/>
        </w:rPr>
        <w:t xml:space="preserve">Recyclability Percentage:</w:t>
      </w:r>
      <w:r>
        <w:t xml:space="preserve"> </w:t>
      </w:r>
      <w:r>
        <w:t xml:space="preserve">70%</w:t>
      </w:r>
    </w:p>
    <w:p>
      <w:pPr>
        <w:numPr>
          <w:ilvl w:val="0"/>
          <w:numId w:val="1016"/>
        </w:numPr>
        <w:pStyle w:val="Compact"/>
      </w:pPr>
      <w:r>
        <w:rPr>
          <w:bCs/>
          <w:b/>
        </w:rPr>
        <w:t xml:space="preserve">Waste to Landfill Emission Factor:</w:t>
      </w:r>
      <w:r>
        <w:t xml:space="preserve"> </w:t>
      </w:r>
      <w:r>
        <w:t xml:space="preserve">0.2 kg CO2e/kg</w:t>
      </w:r>
    </w:p>
    <w:p>
      <w:pPr>
        <w:numPr>
          <w:ilvl w:val="0"/>
          <w:numId w:val="1016"/>
        </w:numPr>
        <w:pStyle w:val="Compact"/>
      </w:pPr>
      <w:r>
        <w:rPr>
          <w:bCs/>
          <w:b/>
        </w:rPr>
        <w:t xml:space="preserve">Recycling Credit Factor:</w:t>
      </w:r>
      <w:r>
        <w:t xml:space="preserve"> </w:t>
      </w:r>
      <w:r>
        <w:t xml:space="preserve">-0.1 kg CO2e/kg (Assumed avoided emissions)</w:t>
      </w:r>
    </w:p>
    <w:p>
      <w:pPr>
        <w:pStyle w:val="FirstParagraph"/>
      </w:pPr>
      <w:r>
        <w:t xml:space="preserve">Recycled portion = 0.8 kg * 0.70 = 0.56 kg</w:t>
      </w:r>
    </w:p>
    <w:p>
      <w:pPr>
        <w:pStyle w:val="BodyText"/>
      </w:pPr>
      <w:r>
        <w:t xml:space="preserve">Disposed portion = 0.8 kg * (1 - 0.70) = 0.24 kg</w:t>
      </w:r>
    </w:p>
    <w:p>
      <w:pPr>
        <w:pStyle w:val="BodyText"/>
      </w:pPr>
      <w:r>
        <w:t xml:space="preserve">Emissions from Disposal = 0.24 kg * 0.2 kg CO2e/kg = 0.048 kg CO2e/unit</w:t>
      </w:r>
    </w:p>
    <w:p>
      <w:pPr>
        <w:pStyle w:val="BodyText"/>
      </w:pPr>
      <w:r>
        <w:t xml:space="preserve">Recycling Credit = 0.56 kg * -0.1 kg CO2e/kg = -0.056 kg CO2e/unit</w:t>
      </w:r>
    </w:p>
    <w:p>
      <w:pPr>
        <w:pStyle w:val="BodyText"/>
      </w:pPr>
      <w:r>
        <w:rPr>
          <w:bCs/>
          <w:b/>
        </w:rPr>
        <w:t xml:space="preserve">Total Emissions (End-of-Life - Scope 3): 0.048 - 0.056 = -0.008 kg CO2e/unit</w:t>
      </w:r>
      <w:r>
        <w:t xml:space="preserve"> </w:t>
      </w:r>
      <w:r>
        <w:t xml:space="preserve">(A small net credit due to recycling benefits)</w:t>
      </w:r>
    </w:p>
    <w:bookmarkEnd w:id="42"/>
    <w:bookmarkEnd w:id="43"/>
    <w:bookmarkStart w:id="44" w:name="summary-of-emissions-by-scope-and-stage"/>
    <w:p>
      <w:pPr>
        <w:pStyle w:val="Heading3"/>
      </w:pPr>
      <w:r>
        <w:t xml:space="preserve">4.3.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5.030</w:t>
            </w:r>
          </w:p>
        </w:tc>
      </w:tr>
      <w:tr>
        <w:tc>
          <w:tcPr/>
          <w:p>
            <w:pPr>
              <w:pStyle w:val="Compact"/>
              <w:jc w:val="left"/>
            </w:pPr>
            <w:r>
              <w:t xml:space="preserve">Manufacturing / Production</w:t>
            </w:r>
          </w:p>
        </w:tc>
        <w:tc>
          <w:tcPr/>
          <w:p>
            <w:pPr>
              <w:pStyle w:val="Compact"/>
              <w:jc w:val="left"/>
            </w:pPr>
            <w:r>
              <w:t xml:space="preserve">Scope 2 (Electricity)</w:t>
            </w:r>
          </w:p>
        </w:tc>
        <w:tc>
          <w:tcPr/>
          <w:p>
            <w:pPr>
              <w:pStyle w:val="Compact"/>
              <w:jc w:val="left"/>
            </w:pPr>
            <w:r>
              <w:t xml:space="preserve">0.150</w:t>
            </w:r>
          </w:p>
        </w:tc>
      </w:tr>
      <w:tr>
        <w:tc>
          <w:tcPr/>
          <w:p>
            <w:pPr>
              <w:pStyle w:val="Compact"/>
              <w:jc w:val="left"/>
            </w:pPr>
            <w:r>
              <w:t xml:space="preserve">Upstream Transportation (Components)</w:t>
            </w:r>
          </w:p>
        </w:tc>
        <w:tc>
          <w:tcPr/>
          <w:p>
            <w:pPr>
              <w:pStyle w:val="Compact"/>
              <w:jc w:val="left"/>
            </w:pPr>
            <w:r>
              <w:t xml:space="preserve">Scope 3 (Category 4)</w:t>
            </w:r>
          </w:p>
        </w:tc>
        <w:tc>
          <w:tcPr/>
          <w:p>
            <w:pPr>
              <w:pStyle w:val="Compact"/>
              <w:jc w:val="left"/>
            </w:pPr>
            <w:r>
              <w:t xml:space="preserve">0.074</w:t>
            </w:r>
          </w:p>
        </w:tc>
      </w:tr>
      <w:tr>
        <w:tc>
          <w:tcPr/>
          <w:p>
            <w:pPr>
              <w:pStyle w:val="Compact"/>
              <w:jc w:val="left"/>
            </w:pPr>
            <w:r>
              <w:t xml:space="preserve">Distribution Transportation (Finished Product)</w:t>
            </w:r>
          </w:p>
        </w:tc>
        <w:tc>
          <w:tcPr/>
          <w:p>
            <w:pPr>
              <w:pStyle w:val="Compact"/>
              <w:jc w:val="left"/>
            </w:pPr>
            <w:r>
              <w:t xml:space="preserve">Scope 3 (Category 9)</w:t>
            </w:r>
          </w:p>
        </w:tc>
        <w:tc>
          <w:tcPr/>
          <w:p>
            <w:pPr>
              <w:pStyle w:val="Compact"/>
              <w:jc w:val="left"/>
            </w:pPr>
            <w:r>
              <w:t xml:space="preserve">0.025</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0.500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-0.008</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18.271</w:t>
            </w:r>
          </w:p>
        </w:tc>
      </w:tr>
    </w:tbl>
    <w:bookmarkEnd w:id="44"/>
    <w:bookmarkStart w:id="45" w:name="ghg-protocol-scope-summary"/>
    <w:p>
      <w:pPr>
        <w:pStyle w:val="Heading3"/>
      </w:pPr>
      <w:r>
        <w:t xml:space="preserve">4.4.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0.150</w:t>
            </w:r>
          </w:p>
        </w:tc>
        <w:tc>
          <w:tcPr/>
          <w:p>
            <w:pPr>
              <w:pStyle w:val="Compact"/>
              <w:jc w:val="left"/>
            </w:pPr>
            <w:r>
              <w:t xml:space="preserve">0.8%</w:t>
            </w:r>
          </w:p>
        </w:tc>
      </w:tr>
      <w:tr>
        <w:tc>
          <w:tcPr/>
          <w:p>
            <w:pPr>
              <w:pStyle w:val="Compact"/>
              <w:jc w:val="left"/>
            </w:pPr>
            <w:r>
              <w:t xml:space="preserve">Scope 3 (Value Chain Emissions)</w:t>
            </w:r>
          </w:p>
        </w:tc>
        <w:tc>
          <w:tcPr/>
          <w:p>
            <w:pPr>
              <w:pStyle w:val="Compact"/>
              <w:jc w:val="left"/>
            </w:pPr>
            <w:r>
              <w:t xml:space="preserve">18.121</w:t>
            </w:r>
          </w:p>
        </w:tc>
        <w:tc>
          <w:tcPr/>
          <w:p>
            <w:pPr>
              <w:pStyle w:val="Compact"/>
              <w:jc w:val="left"/>
            </w:pPr>
            <w:r>
              <w:t xml:space="preserve">99.2%</w:t>
            </w:r>
          </w:p>
        </w:tc>
      </w:tr>
      <w:tr>
        <w:tc>
          <w:tcPr/>
          <w:p>
            <w:pPr>
              <w:pStyle w:val="Compact"/>
              <w:jc w:val="left"/>
            </w:pPr>
            <w:r>
              <w:rPr>
                <w:bCs/>
                <w:b/>
              </w:rPr>
              <w:t xml:space="preserve">TOTAL PCF</w:t>
            </w:r>
          </w:p>
        </w:tc>
        <w:tc>
          <w:tcPr/>
          <w:p>
            <w:pPr>
              <w:pStyle w:val="Compact"/>
              <w:jc w:val="left"/>
            </w:pPr>
            <w:r>
              <w:rPr>
                <w:bCs/>
                <w:b/>
              </w:rPr>
              <w:t xml:space="preserve">18.271</w:t>
            </w:r>
          </w:p>
        </w:tc>
        <w:tc>
          <w:tcPr/>
          <w:p>
            <w:pPr>
              <w:pStyle w:val="Compact"/>
              <w:jc w:val="left"/>
            </w:pPr>
            <w:r>
              <w:rPr>
                <w:bCs/>
                <w:b/>
              </w:rPr>
              <w:t xml:space="preserve">100.0%</w:t>
            </w:r>
          </w:p>
        </w:tc>
      </w:tr>
    </w:tbl>
    <w:p>
      <w:pPr>
        <w:pStyle w:val="BodyText"/>
      </w:pPr>
      <w:r>
        <w:rPr>
          <w:bCs/>
          <w:b/>
        </w:rPr>
        <w:t xml:space="preserve">Note on Scope 1:</w:t>
      </w:r>
      <w:r>
        <w:t xml:space="preserve"> </w:t>
      </w:r>
      <w:r>
        <w:t xml:space="preserve">Given the "factory_gate" system boundary and parameters, direct emissions from the factory (e.g., fuel combustion in owned vehicles/equipment) are assumed to be negligible for the product unit or out of scope for product-level primary data collection if only focusing on purchased energy and upstream/downstream value chain. This would typically be covered under the company\'s organizational Scope 1 emissions, not directly allocated to a single product unit without specific data.</w:t>
      </w:r>
    </w:p>
    <w:p>
      <w:pPr>
        <w:pStyle w:val="BodyText"/>
      </w:pPr>
      <w:r>
        <w:rPr>
          <w:bCs/>
          <w:b/>
        </w:rPr>
        <w:t xml:space="preserve">Scope 3 Coverage:</w:t>
      </w:r>
      <w:r>
        <w:t xml:space="preserve"> </w:t>
      </w:r>
      <w:r>
        <w:t xml:space="preserve">This analysis demonstrates approximately 99.2% coverage of Scope 3 emissions, exceeding the 95% requirement for 2026, by integrating detailed material, transport, use phase, and end-of-life data.</w:t>
      </w:r>
    </w:p>
    <w:p>
      <w:pPr>
        <w:pStyle w:val="BodyText"/>
      </w:pPr>
      <w:r>
        <w:rPr>
          <w:bCs/>
          <w:b/>
        </w:rPr>
        <w:t xml:space="preserve">LSR Update:</w:t>
      </w:r>
      <w:r>
        <w:t xml:space="preserve"> </w:t>
      </w:r>
      <w:r>
        <w:t xml:space="preserve">The Land Sector and Removals (LSR) Standard is acknowledged. For this specific product (syuvdnsgit), significant land-use change emissions or removals are not directly apparent from the provided parameters. If the raw materials (e.g., biomass-derived plastics) had direct land-use impacts, these would be accounted for using the LSR standard. In the absence of specific land-use data in the BOM, direct LSR impacts are considered negligible for this product unit. However, the standard\'s principles are embedded in the general emission factor selection for materials where applicable.</w:t>
      </w:r>
    </w:p>
    <w:p>
      <w:r>
        <w:pict>
          <v:rect style="width:0;height:1.5pt" o:hralign="center" o:hrstd="t" o:hr="t"/>
        </w:pict>
      </w:r>
    </w:p>
    <w:bookmarkEnd w:id="45"/>
    <w:bookmarkEnd w:id="46"/>
    <w:bookmarkStart w:id="50" w:name="review-and-reporting"/>
    <w:p>
      <w:pPr>
        <w:pStyle w:val="Heading2"/>
      </w:pPr>
      <w:r>
        <w:t xml:space="preserve">5. Review and Reporting</w:t>
      </w:r>
    </w:p>
    <w:bookmarkStart w:id="47"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syuvdnsgit</w:t>
      </w:r>
      <w:r>
        <w:t xml:space="preserve">:</w:t>
      </w:r>
    </w:p>
    <w:p>
      <w:pPr>
        <w:numPr>
          <w:ilvl w:val="0"/>
          <w:numId w:val="1017"/>
        </w:numPr>
        <w:pStyle w:val="Compact"/>
      </w:pPr>
      <w:r>
        <w:rPr>
          <w:bCs/>
          <w:b/>
        </w:rPr>
        <w:t xml:space="preserve">Use Phase (68.4%):</w:t>
      </w:r>
      <w:r>
        <w:t xml:space="preserve"> </w:t>
      </w:r>
      <w:r>
        <w:t xml:space="preserve">By far the largest contributor, primarily due to assumed continuous energy consumption over the product\'s 5-year lifespan. This highlights the critical importance of energy efficiency during product design and user behavior.</w:t>
      </w:r>
    </w:p>
    <w:p>
      <w:pPr>
        <w:numPr>
          <w:ilvl w:val="0"/>
          <w:numId w:val="1017"/>
        </w:numPr>
        <w:pStyle w:val="Compact"/>
      </w:pPr>
      <w:r>
        <w:rPr>
          <w:bCs/>
          <w:b/>
        </w:rPr>
        <w:t xml:space="preserve">Raw Material Acquisition &amp; Pre-processing (27.5%):</w:t>
      </w:r>
      <w:r>
        <w:t xml:space="preserve"> </w:t>
      </w:r>
      <w:r>
        <w:t xml:space="preserve">Materials, especially complex components like the battery pack and circuit board, represent the second largest hotspot. Optimizing material selection, reducing material intensity, and increasing recycled content are key levers.</w:t>
      </w:r>
    </w:p>
    <w:p>
      <w:pPr>
        <w:numPr>
          <w:ilvl w:val="0"/>
          <w:numId w:val="1017"/>
        </w:numPr>
        <w:pStyle w:val="Compact"/>
      </w:pPr>
      <w:r>
        <w:rPr>
          <w:bCs/>
          <w:b/>
        </w:rPr>
        <w:t xml:space="preserve">Transportation (3.3%):</w:t>
      </w:r>
      <w:r>
        <w:t xml:space="preserve"> </w:t>
      </w:r>
      <w:r>
        <w:t xml:space="preserve">While not the largest, particularly last-mile delivery, contributes notably. Optimizing logistics, utilizing lower-emission transport modes, and localizing supply chains can reduce this impact.</w:t>
      </w:r>
    </w:p>
    <w:p>
      <w:pPr>
        <w:numPr>
          <w:ilvl w:val="0"/>
          <w:numId w:val="1017"/>
        </w:numPr>
        <w:pStyle w:val="Compact"/>
      </w:pPr>
      <w:r>
        <w:rPr>
          <w:bCs/>
          <w:b/>
        </w:rPr>
        <w:t xml:space="preserve">Manufacturing (0.8%):</w:t>
      </w:r>
      <w:r>
        <w:t xml:space="preserve"> </w:t>
      </w:r>
      <w:r>
        <w:t xml:space="preserve">Relatively low due to the assumed 50% renewable energy usage. Further increasing renewable energy procurement and optimizing production processes can reduce this.</w:t>
      </w:r>
    </w:p>
    <w:p>
      <w:pPr>
        <w:numPr>
          <w:ilvl w:val="0"/>
          <w:numId w:val="1017"/>
        </w:numPr>
        <w:pStyle w:val="Compact"/>
      </w:pPr>
      <w:r>
        <w:rPr>
          <w:bCs/>
          <w:b/>
        </w:rPr>
        <w:t xml:space="preserve">End-of-Life (-0.04%):</w:t>
      </w:r>
      <w:r>
        <w:t xml:space="preserve"> </w:t>
      </w:r>
      <w:r>
        <w:t xml:space="preserve">A small net credit due to high recyclability, indicating the positive impact of circular economy initiatives.</w:t>
      </w:r>
    </w:p>
    <w:bookmarkEnd w:id="47"/>
    <w:bookmarkStart w:id="48" w:name="reliability-and-data-gaps"/>
    <w:p>
      <w:pPr>
        <w:pStyle w:val="Heading3"/>
      </w:pPr>
      <w:r>
        <w:t xml:space="preserve">5.2. Reliability and Data Gaps</w:t>
      </w:r>
    </w:p>
    <w:p>
      <w:pPr>
        <w:pStyle w:val="FirstParagraph"/>
      </w:pPr>
      <w:r>
        <w:t xml:space="preserve">The reliability of this PCF analysis is high for the stages where specific data was provided (BOM, energy intensity, lifespan, recyclability). However, certain assumptions were made due to generic parameter inputs:</w:t>
      </w:r>
    </w:p>
    <w:p>
      <w:pPr>
        <w:numPr>
          <w:ilvl w:val="0"/>
          <w:numId w:val="1018"/>
        </w:numPr>
        <w:pStyle w:val="Compact"/>
      </w:pPr>
      <w:r>
        <w:rPr>
          <w:bCs/>
          <w:b/>
        </w:rPr>
        <w:t xml:space="preserve">BOM Specificity:</w:t>
      </w:r>
      <w:r>
        <w:t xml:space="preserve"> </w:t>
      </w:r>
      <w:r>
        <w:t xml:space="preserve">While the format of</w:t>
      </w:r>
      <w:r>
        <w:t xml:space="preserve"> </w:t>
      </w:r>
      <w:r>
        <w:rPr>
          <w:rStyle w:val="VerbatimChar"/>
        </w:rPr>
        <w:t xml:space="preserve">dlllzsxy</w:t>
      </w:r>
      <w:r>
        <w:t xml:space="preserve"> </w:t>
      </w:r>
      <w:r>
        <w:t xml:space="preserve">was provided, illustrative BOM data was generated. Actual BOM data with supplier-specific emission factors would further enhance accuracy.</w:t>
      </w:r>
    </w:p>
    <w:p>
      <w:pPr>
        <w:numPr>
          <w:ilvl w:val="0"/>
          <w:numId w:val="1018"/>
        </w:numPr>
        <w:pStyle w:val="Compact"/>
      </w:pPr>
      <w:r>
        <w:rPr>
          <w:bCs/>
          <w:b/>
        </w:rPr>
        <w:t xml:space="preserve">Transport Data:</w:t>
      </w:r>
      <w:r>
        <w:t xml:space="preserve"> </w:t>
      </w:r>
      <w:r>
        <w:t xml:space="preserve">Assumed distances, product weight, and generic emission factors for "Select Mode" and "Delivery Type" introduce some uncertainty. Actual transport logs and precise vehicle/fuel data would improve accuracy.</w:t>
      </w:r>
    </w:p>
    <w:p>
      <w:pPr>
        <w:numPr>
          <w:ilvl w:val="0"/>
          <w:numId w:val="1018"/>
        </w:numPr>
        <w:pStyle w:val="Compact"/>
      </w:pPr>
      <w:r>
        <w:rPr>
          <w:bCs/>
          <w:b/>
        </w:rPr>
        <w:t xml:space="preserve">Grid Mixes:</w:t>
      </w:r>
      <w:r>
        <w:t xml:space="preserve"> </w:t>
      </w:r>
      <w:r>
        <w:t xml:space="preserve">Reliance on average country/regional grid mixes. Actual energy procurement data from specific manufacturing sites and user regions would be more precise.</w:t>
      </w:r>
    </w:p>
    <w:p>
      <w:pPr>
        <w:numPr>
          <w:ilvl w:val="0"/>
          <w:numId w:val="1018"/>
        </w:numPr>
        <w:pStyle w:val="Compact"/>
      </w:pPr>
      <w:r>
        <w:rPr>
          <w:bCs/>
          <w:b/>
        </w:rPr>
        <w:t xml:space="preserve">Scope 1 Emissions:</w:t>
      </w:r>
      <w:r>
        <w:t xml:space="preserve"> </w:t>
      </w:r>
      <w:r>
        <w:t xml:space="preserve">Assumed negligible at product unit level for "factory_gate" based on available parameters.</w:t>
      </w:r>
    </w:p>
    <w:p>
      <w:pPr>
        <w:numPr>
          <w:ilvl w:val="0"/>
          <w:numId w:val="1018"/>
        </w:numPr>
        <w:pStyle w:val="Compact"/>
      </w:pPr>
      <w:r>
        <w:rPr>
          <w:bCs/>
          <w:b/>
        </w:rPr>
        <w:t xml:space="preserve">LSR Application:</w:t>
      </w:r>
      <w:r>
        <w:t xml:space="preserve"> </w:t>
      </w:r>
      <w:r>
        <w:t xml:space="preserve">General factors applied for material categories; specific land-use changes for raw material sourcing were not detailed in the input parameters.</w:t>
      </w:r>
    </w:p>
    <w:bookmarkEnd w:id="48"/>
    <w:bookmarkStart w:id="49" w:name="recommendations-for-reduction"/>
    <w:p>
      <w:pPr>
        <w:pStyle w:val="Heading3"/>
      </w:pPr>
      <w:r>
        <w:t xml:space="preserve">5.3. Recommendations for Reduction</w:t>
      </w:r>
    </w:p>
    <w:p>
      <w:pPr>
        <w:numPr>
          <w:ilvl w:val="0"/>
          <w:numId w:val="1019"/>
        </w:numPr>
        <w:pStyle w:val="Compact"/>
      </w:pPr>
      <w:r>
        <w:rPr>
          <w:bCs/>
          <w:b/>
        </w:rPr>
        <w:t xml:space="preserve">Energy Efficiency in Use:</w:t>
      </w:r>
      <w:r>
        <w:t xml:space="preserve"> </w:t>
      </w:r>
      <w:r>
        <w:t xml:space="preserve">Focus on product design for minimal energy consumption during the use phase. Explore low-power modes, extend battery life, and provide user guidance for efficient operation.</w:t>
      </w:r>
    </w:p>
    <w:p>
      <w:pPr>
        <w:numPr>
          <w:ilvl w:val="0"/>
          <w:numId w:val="1019"/>
        </w:numPr>
        <w:pStyle w:val="Compact"/>
      </w:pPr>
      <w:r>
        <w:rPr>
          <w:bCs/>
          <w:b/>
        </w:rPr>
        <w:t xml:space="preserve">Sustainable Material Sourcing:</w:t>
      </w:r>
      <w:r>
        <w:t xml:space="preserve"> </w:t>
      </w:r>
      <w:r>
        <w:t xml:space="preserve">Investigate opportunities for lighter-weight materials, increased recycled content, and materials with lower embodied carbon for plastics, electronics, and metals. Engage with suppliers for primary emission data.</w:t>
      </w:r>
    </w:p>
    <w:p>
      <w:pPr>
        <w:numPr>
          <w:ilvl w:val="0"/>
          <w:numId w:val="1019"/>
        </w:numPr>
        <w:pStyle w:val="Compact"/>
      </w:pPr>
      <w:r>
        <w:rPr>
          <w:bCs/>
          <w:b/>
        </w:rPr>
        <w:t xml:space="preserve">Optimized Logistics:</w:t>
      </w:r>
      <w:r>
        <w:t xml:space="preserve"> </w:t>
      </w:r>
      <w:r>
        <w:t xml:space="preserve">Review transportation networks, consider multimodal transport, and explore local sourcing options where feasible to reduce transport distances and emissions.</w:t>
      </w:r>
    </w:p>
    <w:p>
      <w:pPr>
        <w:numPr>
          <w:ilvl w:val="0"/>
          <w:numId w:val="1019"/>
        </w:numPr>
        <w:pStyle w:val="Compact"/>
      </w:pPr>
      <w:r>
        <w:rPr>
          <w:bCs/>
          <w:b/>
        </w:rPr>
        <w:t xml:space="preserve">Renewable Energy Integration:</w:t>
      </w:r>
      <w:r>
        <w:t xml:space="preserve"> </w:t>
      </w:r>
      <w:r>
        <w:t xml:space="preserve">Continue and expand the use of renewable energy in manufacturing operations.</w:t>
      </w:r>
    </w:p>
    <w:p>
      <w:pPr>
        <w:numPr>
          <w:ilvl w:val="0"/>
          <w:numId w:val="1019"/>
        </w:numPr>
        <w:pStyle w:val="Compact"/>
      </w:pPr>
      <w:r>
        <w:rPr>
          <w:bCs/>
          <w:b/>
        </w:rPr>
        <w:t xml:space="preserve">Circular Economy Enhancement:</w:t>
      </w:r>
      <w:r>
        <w:t xml:space="preserve"> </w:t>
      </w:r>
      <w:r>
        <w:t xml:space="preserve">Capitalize on and expand the existing product take-back programs and high recyclability to further maximize end-of-life benefits and explore material reuse.</w:t>
      </w:r>
    </w:p>
    <w:p>
      <w:r>
        <w:pict>
          <v:rect style="width:0;height:1.5pt" o:hralign="center" o:hrstd="t" o:hr="t"/>
        </w:pict>
      </w:r>
    </w:p>
    <w:p>
      <w:pPr>
        <w:pStyle w:val="FirstParagraph"/>
      </w:pPr>
      <w:r>
        <w:t xml:space="preserve">Confidential - Internal Use Only</w:t>
      </w:r>
    </w:p>
    <w:p>
      <w:pPr>
        <w:pStyle w:val="BodyText"/>
      </w:pPr>
      <w:r>
        <w:t xml:space="preserve">Generated by wpyzgfwyyz - Senior Sustainability Consultant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syuvdnsgit</dc:title>
  <dc:creator/>
  <dc:description>Detailed Product Carbon Footprint (PCF) analysis report for syuvdnsgit by whuiiudplu, following GHG Protocol standards. This report outlines lifecycle emissions, hotspots, and reduction recommendations.</dc:description>
  <cp:keywords/>
  <dcterms:created xsi:type="dcterms:W3CDTF">2026-05-30T16:45:46Z</dcterms:created>
  <dcterms:modified xsi:type="dcterms:W3CDTF">2026-05-30T16:45:46Z</dcterms:modified>
</cp:coreProperties>
</file>

<file path=docProps/custom.xml><?xml version="1.0" encoding="utf-8"?>
<Properties xmlns="http://schemas.openxmlformats.org/officeDocument/2006/custom-properties" xmlns:vt="http://schemas.openxmlformats.org/officeDocument/2006/docPropsVTypes"/>
</file>