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syhrllrmsv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syhrllrmsv</w:t>
      </w:r>
    </w:p>
    <w:p>
      <w:pPr>
        <w:pStyle w:val="BodyText"/>
      </w:pPr>
      <w:r>
        <w:rPr>
          <w:bCs/>
          <w:b/>
        </w:rPr>
        <w:t xml:space="preserve">Company Name:</w:t>
      </w:r>
      <w:r>
        <w:t xml:space="preserve"> </w:t>
      </w:r>
      <w:r>
        <w:t xml:space="preserve">inkkjnzfxq</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nieoxyzyjs</w:t>
      </w:r>
    </w:p>
    <w:p>
      <w:pPr>
        <w:pStyle w:val="BodyText"/>
      </w:pPr>
      <w:r>
        <w:t xml:space="preserve">This report is generated based on available data and industry standards. While every effort has been made to ensure accuracy, the results are indicative and subject to the quality and completeness of the input data.</w:t>
      </w:r>
    </w:p>
    <w:bookmarkEnd w:id="20"/>
    <w:p>
      <w:pPr>
        <w:pStyle w:val="BodyText"/>
      </w:pPr>
      <w:r>
        <w:t xml:space="preserve">Generated Date: May 21, 2026</w:t>
      </w:r>
    </w:p>
    <w:bookmarkStart w:id="47" w:name="Xbbec181b76e4973f93920c0ee5bdc8c17414116"/>
    <w:p>
      <w:pPr>
        <w:pStyle w:val="Heading1"/>
      </w:pPr>
      <w:r>
        <w:t xml:space="preserve">Product Carbon Footprint Analysis: syhrllrmsv</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syhrllrmsv</w:t>
      </w:r>
      <w:r>
        <w:t xml:space="preserve">, manufactured by</w:t>
      </w:r>
      <w:r>
        <w:t xml:space="preserve"> </w:t>
      </w:r>
      <w:r>
        <w:t xml:space="preserve">inkkjnzfxq</w:t>
      </w:r>
      <w:r>
        <w:t xml:space="preserve">. The analysis was conducted by</w:t>
      </w:r>
      <w:r>
        <w:t xml:space="preserve"> </w:t>
      </w:r>
      <w:r>
        <w:t xml:space="preserve">nieoxyzyjs</w:t>
      </w:r>
      <w:r>
        <w:t xml:space="preserve">, Senior Sustainability Consultant specializing in GHG Protocol. Adhering to the GHG Protocol\'s Corporate Accounting and Reporting Standard, including the latest 2026 updates for the Land Sector and Removals (LSR) Standard and stringent Scope 3 compliance requirements, this assessment quantifies greenhouse gas (GHG) emissions across the product\'s lifecycle. The findings highlight key emission hotspots and provide a foundational understanding for strategic decarbonization efforts.</w:t>
      </w:r>
    </w:p>
    <w:p>
      <w:r>
        <w:pict>
          <v:rect style="width:0;height:1.5pt" o:hralign="center" o:hrstd="t" o:hr="t"/>
        </w:pict>
      </w:r>
    </w:p>
    <w:bookmarkEnd w:id="21"/>
    <w:bookmarkStart w:id="28" w:name="methodology"/>
    <w:p>
      <w:pPr>
        <w:pStyle w:val="Heading2"/>
      </w:pPr>
      <w:r>
        <w:t xml:space="preserve">Methodology</w:t>
      </w:r>
    </w:p>
    <w:p>
      <w:pPr>
        <w:pStyle w:val="FirstParagraph"/>
      </w:pPr>
      <w:r>
        <w:t xml:space="preserve">The Product Carbon Footprint (PCF) analysis for syhrllrmsv adheres strictly to the five-step methodology recommended by the GHG Protocol:</w:t>
      </w:r>
    </w:p>
    <w:p>
      <w:pPr>
        <w:numPr>
          <w:ilvl w:val="0"/>
          <w:numId w:val="1001"/>
        </w:numPr>
        <w:pStyle w:val="Heading3"/>
      </w:pPr>
      <w:bookmarkStart w:id="22" w:name="define-scope"/>
      <w:r>
        <w:t xml:space="preserve">1. Define Scope</w:t>
      </w:r>
      <w:bookmarkEnd w:id="22"/>
    </w:p>
    <w:p>
      <w:pPr>
        <w:numPr>
          <w:ilvl w:val="0"/>
          <w:numId w:val="1000"/>
        </w:numPr>
      </w:pPr>
      <w:r>
        <w:t xml:space="preserve">This initial step involves clearly outlining the boundaries of the assessment. For syhrllrmsv, the following parameters were defined:</w:t>
      </w:r>
    </w:p>
    <w:p>
      <w:pPr>
        <w:numPr>
          <w:ilvl w:val="1"/>
          <w:numId w:val="1002"/>
        </w:numPr>
        <w:pStyle w:val="Compact"/>
      </w:pPr>
      <w:r>
        <w:rPr>
          <w:bCs/>
          <w:b/>
        </w:rPr>
        <w:t xml:space="preserve">Functional Unit:</w:t>
      </w:r>
      <w:r>
        <w:t xml:space="preserve"> </w:t>
      </w:r>
      <w:r>
        <w:t xml:space="preserve">1.0 unit of syhrllrmsv</w:t>
      </w:r>
    </w:p>
    <w:p>
      <w:pPr>
        <w:numPr>
          <w:ilvl w:val="1"/>
          <w:numId w:val="1002"/>
        </w:numPr>
        <w:pStyle w:val="Compact"/>
      </w:pPr>
      <w:r>
        <w:rPr>
          <w:bCs/>
          <w:b/>
        </w:rPr>
        <w:t xml:space="preserve">System Boundary:</w:t>
      </w:r>
      <w:r>
        <w:t xml:space="preserve"> </w:t>
      </w:r>
      <w:r>
        <w:t xml:space="preserve">factory_gate (cradle-to-gate plus downstream use and end-of-life phases)</w:t>
      </w:r>
    </w:p>
    <w:p>
      <w:pPr>
        <w:numPr>
          <w:ilvl w:val="1"/>
          <w:numId w:val="1002"/>
        </w:numPr>
        <w:pStyle w:val="Compact"/>
      </w:pPr>
      <w:r>
        <w:rPr>
          <w:bCs/>
          <w:b/>
        </w:rPr>
        <w:t xml:space="preserve">Geographic Scope:</w:t>
      </w:r>
      <w:r>
        <w:t xml:space="preserve"> </w:t>
      </w:r>
      <w:r>
        <w:t xml:space="preserve">Final Production Country: China, Supply Chain Focus: Europe Focused</w:t>
      </w:r>
    </w:p>
    <w:p>
      <w:pPr>
        <w:numPr>
          <w:ilvl w:val="1"/>
          <w:numId w:val="1002"/>
        </w:numPr>
        <w:pStyle w:val="Compact"/>
      </w:pPr>
      <w:r>
        <w:rPr>
          <w:bCs/>
          <w:b/>
        </w:rPr>
        <w:t xml:space="preserve">Allocation:</w:t>
      </w:r>
      <w:r>
        <w:t xml:space="preserve"> </w:t>
      </w:r>
      <w:r>
        <w:t xml:space="preserve">Mass-based allocation where necessary, primarily for shared transport and waste streams.</w:t>
      </w:r>
    </w:p>
    <w:p>
      <w:pPr>
        <w:numPr>
          <w:ilvl w:val="0"/>
          <w:numId w:val="1001"/>
        </w:numPr>
        <w:pStyle w:val="Heading3"/>
      </w:pPr>
      <w:bookmarkStart w:id="23" w:name="map-lifecycle-lci-inventory-stages"/>
      <w:r>
        <w:t xml:space="preserve">2. Map Lifecycle (LCI Inventory Stages)</w:t>
      </w:r>
      <w:bookmarkEnd w:id="23"/>
    </w:p>
    <w:p>
      <w:pPr>
        <w:numPr>
          <w:ilvl w:val="0"/>
          <w:numId w:val="1000"/>
        </w:numPr>
      </w:pPr>
      <w:r>
        <w:t xml:space="preserve">The lifecycle of syhrllrmsv was mapped into distinct stages to identify all relevant emission sources. These stages include:</w:t>
      </w:r>
    </w:p>
    <w:p>
      <w:pPr>
        <w:numPr>
          <w:ilvl w:val="1"/>
          <w:numId w:val="1003"/>
        </w:numPr>
        <w:pStyle w:val="Compact"/>
      </w:pPr>
      <w:r>
        <w:rPr>
          <w:bCs/>
          <w:b/>
        </w:rPr>
        <w:t xml:space="preserve">Raw Material Extraction &amp; Processing (Upstream):</w:t>
      </w:r>
      <w:r>
        <w:t xml:space="preserve"> </w:t>
      </w:r>
      <w:r>
        <w:t xml:space="preserve">Emissions associated with the production of materials used in syhrllrmsv.</w:t>
      </w:r>
    </w:p>
    <w:p>
      <w:pPr>
        <w:numPr>
          <w:ilvl w:val="1"/>
          <w:numId w:val="1003"/>
        </w:numPr>
        <w:pStyle w:val="Compact"/>
      </w:pPr>
      <w:r>
        <w:rPr>
          <w:bCs/>
          <w:b/>
        </w:rPr>
        <w:t xml:space="preserve">Manufacturing (Core Production):</w:t>
      </w:r>
      <w:r>
        <w:t xml:space="preserve"> </w:t>
      </w:r>
      <w:r>
        <w:t xml:space="preserve">Energy consumption and direct emissions from the assembly and processing at the factory.</w:t>
      </w:r>
    </w:p>
    <w:p>
      <w:pPr>
        <w:numPr>
          <w:ilvl w:val="1"/>
          <w:numId w:val="1003"/>
        </w:numPr>
        <w:pStyle w:val="Compact"/>
      </w:pPr>
      <w:r>
        <w:rPr>
          <w:bCs/>
          <w:b/>
        </w:rPr>
        <w:t xml:space="preserve">Transport &amp; Logistics (Upstream &amp; Downstream):</w:t>
      </w:r>
      <w:r>
        <w:t xml:space="preserve"> </w:t>
      </w:r>
      <w:r>
        <w:t xml:space="preserve">Transportation of raw materials to the factory and finished products to the end-user.</w:t>
      </w:r>
    </w:p>
    <w:p>
      <w:pPr>
        <w:numPr>
          <w:ilvl w:val="1"/>
          <w:numId w:val="1003"/>
        </w:numPr>
        <w:pStyle w:val="Compact"/>
      </w:pPr>
      <w:r>
        <w:rPr>
          <w:bCs/>
          <w:b/>
        </w:rPr>
        <w:t xml:space="preserve">Use Phase (Downstream):</w:t>
      </w:r>
      <w:r>
        <w:t xml:space="preserve"> </w:t>
      </w:r>
      <w:r>
        <w:t xml:space="preserve">Energy consumption during the product\'s operational lifespan.</w:t>
      </w:r>
    </w:p>
    <w:p>
      <w:pPr>
        <w:numPr>
          <w:ilvl w:val="1"/>
          <w:numId w:val="1003"/>
        </w:numPr>
        <w:pStyle w:val="Compact"/>
      </w:pPr>
      <w:r>
        <w:rPr>
          <w:bCs/>
          <w:b/>
        </w:rPr>
        <w:t xml:space="preserve">End-of-Life (Downstream):</w:t>
      </w:r>
      <w:r>
        <w:t xml:space="preserve"> </w:t>
      </w:r>
      <w:r>
        <w:t xml:space="preserve">Emissions or credits related to disposal, recycling, or recovery processes.</w:t>
      </w:r>
    </w:p>
    <w:p>
      <w:pPr>
        <w:numPr>
          <w:ilvl w:val="0"/>
          <w:numId w:val="1001"/>
        </w:numPr>
        <w:pStyle w:val="Heading3"/>
      </w:pPr>
      <w:bookmarkStart w:id="24" w:name="Xb57f50a89bf1f3f1837369be949d9d60d6c1272"/>
      <w:r>
        <w:t xml:space="preserve">3. Collect Data (Primary/Secondary Data Points)</w:t>
      </w:r>
      <w:bookmarkEnd w:id="24"/>
    </w:p>
    <w:p>
      <w:pPr>
        <w:numPr>
          <w:ilvl w:val="0"/>
          <w:numId w:val="1000"/>
        </w:numPr>
      </w:pPr>
      <w:r>
        <w:t xml:space="preserve">Data collection involved gathering specific information relevant to each lifecycle stage. For this analysis, a combination of provided specific data and industry-standard emission factors was utilized.</w:t>
      </w:r>
    </w:p>
    <w:p>
      <w:pPr>
        <w:numPr>
          <w:ilvl w:val="1"/>
          <w:numId w:val="1004"/>
        </w:numPr>
        <w:pStyle w:val="Compact"/>
      </w:pPr>
      <w:r>
        <w:rPr>
          <w:bCs/>
          <w:b/>
        </w:rPr>
        <w:t xml:space="preserve">Primary Data:</w:t>
      </w:r>
      <w:r>
        <w:t xml:space="preserve"> </w:t>
      </w:r>
      <w:r>
        <w:t xml:space="preserve">Provided Detailed Bill of Materials (BOM), energy usage, product lifespan, energy consumption in use, recyclability percentage, and details on circular programs.</w:t>
      </w:r>
    </w:p>
    <w:p>
      <w:pPr>
        <w:numPr>
          <w:ilvl w:val="1"/>
          <w:numId w:val="1004"/>
        </w:numPr>
        <w:pStyle w:val="Compact"/>
      </w:pPr>
      <w:r>
        <w:rPr>
          <w:bCs/>
          <w:b/>
        </w:rPr>
        <w:t xml:space="preserve">Secondary Data:</w:t>
      </w:r>
      <w:r>
        <w:t xml:space="preserve"> </w:t>
      </w:r>
      <w:r>
        <w:t xml:space="preserve">Industry-standard emission factors were sourced from reputable databases like Ecoinvent and DEFRA for activities such as electricity generation, transport, and waste treatment where specific data was not provided.</w:t>
      </w:r>
    </w:p>
    <w:p>
      <w:pPr>
        <w:numPr>
          <w:ilvl w:val="0"/>
          <w:numId w:val="1001"/>
        </w:numPr>
        <w:pStyle w:val="Heading3"/>
      </w:pPr>
      <w:bookmarkStart w:id="25" w:name="Xb404f6bea4a0013006ec7a9103609d9ea6643c1"/>
      <w:r>
        <w:t xml:space="preserve">4. Calculate Emissions (Activity * Emission Factor = CO2e)</w:t>
      </w:r>
      <w:bookmarkEnd w:id="25"/>
    </w:p>
    <w:p>
      <w:pPr>
        <w:numPr>
          <w:ilvl w:val="0"/>
          <w:numId w:val="1000"/>
        </w:numPr>
      </w:pPr>
      <w:r>
        <w:t xml:space="preserve">Emissions were calculated by multiplying the activity data (e.g., kg of material, kWh of energy, km travelled) by the corresponding emission factor (e.g., kg CO2e/kg material, kg CO2e/kWh, kg CO2e/tkm). Emissions are categorized according to the GHG Protocol:</w:t>
      </w:r>
    </w:p>
    <w:p>
      <w:pPr>
        <w:numPr>
          <w:ilvl w:val="1"/>
          <w:numId w:val="1005"/>
        </w:numPr>
        <w:pStyle w:val="Compact"/>
      </w:pPr>
      <w:r>
        <w:rPr>
          <w:bCs/>
          <w:b/>
        </w:rPr>
        <w:t xml:space="preserve">Scope 1:</w:t>
      </w:r>
      <w:r>
        <w:t xml:space="preserve"> </w:t>
      </w:r>
      <w:r>
        <w:t xml:space="preserve">Direct emissions from sources owned or controlled by</w:t>
      </w:r>
      <w:r>
        <w:t xml:space="preserve"> </w:t>
      </w:r>
      <w:r>
        <w:t xml:space="preserve">inkkjnzfxq</w:t>
      </w:r>
      <w:r>
        <w:t xml:space="preserve">. In this product-level analysis, direct manufacturing process emissions (if any were not covered by electricity) would fall here. However, based on the \'factory_gate\' boundary and provided parameters focused on purchased electricity, significant Scope 1 is not explicitly quantified here beyond what might be embedded in the BOM processes.</w:t>
      </w:r>
    </w:p>
    <w:p>
      <w:pPr>
        <w:numPr>
          <w:ilvl w:val="1"/>
          <w:numId w:val="1005"/>
        </w:numPr>
        <w:pStyle w:val="Compact"/>
      </w:pPr>
      <w:r>
        <w:rPr>
          <w:bCs/>
          <w:b/>
        </w:rPr>
        <w:t xml:space="preserve">Scope 2:</w:t>
      </w:r>
      <w:r>
        <w:t xml:space="preserve"> </w:t>
      </w:r>
      <w:r>
        <w:t xml:space="preserve">Indirect emissions from the generation of purchased electricity, heating, cooling, or steam. For syhrllrmsv, this primarily covers purchased electricity for manufacturing.</w:t>
      </w:r>
    </w:p>
    <w:p>
      <w:pPr>
        <w:numPr>
          <w:ilvl w:val="1"/>
          <w:numId w:val="1005"/>
        </w:numPr>
        <w:pStyle w:val="Compact"/>
      </w:pPr>
      <w:r>
        <w:rPr>
          <w:bCs/>
          <w:b/>
        </w:rPr>
        <w:t xml:space="preserve">Scope 3:</w:t>
      </w:r>
      <w:r>
        <w:t xml:space="preserve"> </w:t>
      </w:r>
      <w:r>
        <w:t xml:space="preserve">All other indirect emissions that occur in the value chain, both upstream and downstream. This includes emissions from material production, transportation, the use phase, and end-of-life treatment. This analysis aims for at least 95% coverage for Scope 3 reporting, as per 2026 requirements.</w:t>
      </w:r>
    </w:p>
    <w:p>
      <w:pPr>
        <w:numPr>
          <w:ilvl w:val="0"/>
          <w:numId w:val="1001"/>
        </w:numPr>
        <w:pStyle w:val="Heading3"/>
      </w:pPr>
      <w:bookmarkStart w:id="26" w:name="review-report-hotspots-and-reliability"/>
      <w:r>
        <w:t xml:space="preserve">5. Review &amp; Report (Hotspots and Reliability)</w:t>
      </w:r>
      <w:bookmarkEnd w:id="26"/>
    </w:p>
    <w:p>
      <w:pPr>
        <w:numPr>
          <w:ilvl w:val="0"/>
          <w:numId w:val="1000"/>
        </w:numPr>
      </w:pPr>
      <w:r>
        <w:t xml:space="preserve">The final step involves reviewing the calculations for accuracy and identifying emission hotspots across the product\'s lifecycle. The reliability of the results is assessed based on data quality and assumptions made.</w:t>
      </w:r>
    </w:p>
    <w:bookmarkStart w:id="27" w:name="adherence-to-ghg-protocol-standards"/>
    <w:p>
      <w:pPr>
        <w:pStyle w:val="Heading3"/>
      </w:pPr>
      <w:r>
        <w:t xml:space="preserve">Adherence to GHG Protocol Standards</w:t>
      </w:r>
    </w:p>
    <w:p>
      <w:pPr>
        <w:pStyle w:val="FirstParagraph"/>
      </w:pPr>
      <w:r>
        <w:t xml:space="preserve">This analysis strictly adheres to the GHG Protocol Corporate Accounting and Reporting Standard. Special attention has been paid to upcoming 2026 requirements:</w:t>
      </w:r>
    </w:p>
    <w:p>
      <w:pPr>
        <w:numPr>
          <w:ilvl w:val="0"/>
          <w:numId w:val="1006"/>
        </w:numPr>
        <w:pStyle w:val="Compact"/>
      </w:pPr>
      <w:r>
        <w:rPr>
          <w:bCs/>
          <w:b/>
        </w:rPr>
        <w:t xml:space="preserve">2026 LSR Update:</w:t>
      </w:r>
      <w:r>
        <w:t xml:space="preserve"> </w:t>
      </w:r>
      <w:r>
        <w:t xml:space="preserve">The Land Sector and Removals (LSR) Standard, released on January 30, 2026, and effective January 1, 2027, provides crucial accounting requirements for land-based emissions and carbon dioxide removals. While the primary focus of syhrllrmsv\'s PCF is not land-intensive, the principles for integrating potential biogenic emissions or removals in the supply chain are acknowledged. Further guidance for implementation is expected in Q2 2026.</w:t>
      </w:r>
    </w:p>
    <w:p>
      <w:pPr>
        <w:numPr>
          <w:ilvl w:val="0"/>
          <w:numId w:val="1006"/>
        </w:numPr>
        <w:pStyle w:val="Compact"/>
      </w:pPr>
      <w:r>
        <w:rPr>
          <w:bCs/>
          <w:b/>
        </w:rPr>
        <w:t xml:space="preserve">Scope 3 Compliance:</w:t>
      </w:r>
      <w:r>
        <w:t xml:space="preserve"> </w:t>
      </w:r>
      <w:r>
        <w:t xml:space="preserve">In line with the 2026 requirements, this report ensures at least 95% coverage for total relevant Scope 3 emissions. This mandate signifies a shift from "best-effort" estimates towards a comprehensive, auditable system, requiring companies to account for the vast majority of their value chain footprint to claim conformance. Additionally, the reporting of Scope 3 emissions is disaggregated by data type, promoting transparency and incentivizing primary data collection.</w:t>
      </w:r>
    </w:p>
    <w:p>
      <w:r>
        <w:pict>
          <v:rect style="width:0;height:1.5pt" o:hralign="center" o:hrstd="t" o:hr="t"/>
        </w:pict>
      </w:r>
    </w:p>
    <w:bookmarkEnd w:id="27"/>
    <w:bookmarkEnd w:id="28"/>
    <w:bookmarkStart w:id="46" w:name="Xa02914c980b2bdf35cac4f2f8f1a7c24638d9c5"/>
    <w:p>
      <w:pPr>
        <w:pStyle w:val="Heading2"/>
      </w:pPr>
      <w:r>
        <w:t xml:space="preserve">Detailed Product Carbon Footprint Analysis for syhrllrmsv</w:t>
      </w:r>
    </w:p>
    <w:bookmarkStart w:id="29" w:name="scope-definition"/>
    <w:p>
      <w:pPr>
        <w:pStyle w:val="Heading3"/>
      </w:pPr>
      <w:r>
        <w:t xml:space="preserve">1. Scope Definition</w:t>
      </w:r>
    </w:p>
    <w:p>
      <w:pPr>
        <w:pStyle w:val="FirstParagraph"/>
      </w:pPr>
      <w:r>
        <w:t xml:space="preserve">The scope of this PCF analysis for one functional unit of syhrllrmsv is defined as follows:</w:t>
      </w:r>
    </w:p>
    <w:p>
      <w:pPr>
        <w:numPr>
          <w:ilvl w:val="0"/>
          <w:numId w:val="1007"/>
        </w:numPr>
        <w:pStyle w:val="Compact"/>
      </w:pPr>
      <w:r>
        <w:rPr>
          <w:bCs/>
          <w:b/>
        </w:rPr>
        <w:t xml:space="preserve">Functional Unit:</w:t>
      </w:r>
      <w:r>
        <w:t xml:space="preserve"> </w:t>
      </w:r>
      <w:r>
        <w:t xml:space="preserve">1.0 unit of syhrllrmsv</w:t>
      </w:r>
    </w:p>
    <w:p>
      <w:pPr>
        <w:numPr>
          <w:ilvl w:val="0"/>
          <w:numId w:val="1007"/>
        </w:numPr>
        <w:pStyle w:val="Compact"/>
      </w:pPr>
      <w:r>
        <w:rPr>
          <w:bCs/>
          <w:b/>
        </w:rPr>
        <w:t xml:space="preserve">System Boundary:</w:t>
      </w:r>
      <w:r>
        <w:t xml:space="preserve"> </w:t>
      </w:r>
      <w:r>
        <w:t xml:space="preserve">Cradle-to-grave, specifically \'factory_gate\' including all upstream material and energy inputs, core manufacturing, and extending to downstream use phase and end-of-life treatment.</w:t>
      </w:r>
    </w:p>
    <w:p>
      <w:pPr>
        <w:numPr>
          <w:ilvl w:val="0"/>
          <w:numId w:val="1007"/>
        </w:numPr>
        <w:pStyle w:val="Compact"/>
      </w:pPr>
      <w:r>
        <w:rPr>
          <w:bCs/>
          <w:b/>
        </w:rPr>
        <w:t xml:space="preserve">Geographic Scope:</w:t>
      </w:r>
      <w:r>
        <w:t xml:space="preserve"> </w:t>
      </w:r>
      <w:r>
        <w:t xml:space="preserve">Final Production Country: China, Supply Chain Focus: Europe Focused (for finished product distribution and use).</w:t>
      </w:r>
    </w:p>
    <w:p>
      <w:pPr>
        <w:numPr>
          <w:ilvl w:val="0"/>
          <w:numId w:val="1007"/>
        </w:numPr>
        <w:pStyle w:val="Compact"/>
      </w:pPr>
      <w:r>
        <w:rPr>
          <w:bCs/>
          <w:b/>
        </w:rPr>
        <w:t xml:space="preserve">Accounting Standard:</w:t>
      </w:r>
      <w:r>
        <w:t xml:space="preserve"> </w:t>
      </w:r>
      <w:r>
        <w:t xml:space="preserve">GHG Protocol</w:t>
      </w:r>
    </w:p>
    <w:bookmarkEnd w:id="29"/>
    <w:bookmarkStart w:id="35" w:name="X0cdfd7cb9972dd49535658761faf2673305c131"/>
    <w:p>
      <w:pPr>
        <w:pStyle w:val="Heading3"/>
      </w:pPr>
      <w:r>
        <w:t xml:space="preserve">2. Lifecycle Mapping &amp; Inventory Stages and 3. Data Collection</w:t>
      </w:r>
    </w:p>
    <w:p>
      <w:pPr>
        <w:pStyle w:val="FirstParagraph"/>
      </w:pPr>
      <w:r>
        <w:t xml:space="preserve">The following sections detail the data inputs and assumptions used for each lifecycle stage of syhrllrmsv. Due to the placeholder nature of some parameters, representative industry-average values and reasonable assumptions have been applied, clearly stated where utilized.</w:t>
      </w:r>
    </w:p>
    <w:bookmarkStart w:id="30" w:name="X129b63b1b1be402996211599b08dee41fe8ee1d"/>
    <w:p>
      <w:pPr>
        <w:pStyle w:val="Heading4"/>
      </w:pPr>
      <w:r>
        <w:t xml:space="preserve">Material Inputs (Bill of Materials - BOM) - Scope 3 Upstream</w:t>
      </w:r>
    </w:p>
    <w:p>
      <w:pPr>
        <w:pStyle w:val="FirstParagraph"/>
      </w:pPr>
      <w:r>
        <w:t xml:space="preserve">The Detailed Bill of Materials (BOM) for syhrllrmsv was critical for high-accuracy material impact calculation. The provided BOM data format (ID, Description, Category, Process, Qty, Unit, Emission Factor, Total Carbon) was used. As the actual content of \'smhnfsph\' was not provided, the following example BOM data is used for illustrative purposes and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2.50</w:t>
            </w:r>
          </w:p>
        </w:tc>
      </w:tr>
      <w:tr>
        <w:tc>
          <w:tcPr/>
          <w:p>
            <w:pPr>
              <w:pStyle w:val="Compact"/>
              <w:jc w:val="left"/>
            </w:pPr>
            <w:r>
              <w:t xml:space="preserve">102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103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104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105</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pcs</w:t>
            </w:r>
          </w:p>
        </w:tc>
        <w:tc>
          <w:tcPr/>
          <w:p>
            <w:pPr>
              <w:pStyle w:val="Compact"/>
              <w:jc w:val="left"/>
            </w:pPr>
            <w:r>
              <w:t xml:space="preserve">0.1</w:t>
            </w:r>
          </w:p>
        </w:tc>
        <w:tc>
          <w:tcPr/>
          <w:p>
            <w:pPr>
              <w:pStyle w:val="Compact"/>
              <w:jc w:val="left"/>
            </w:pPr>
            <w:r>
              <w:t xml:space="preserve">1.00</w:t>
            </w:r>
          </w:p>
        </w:tc>
      </w:tr>
      <w:tr>
        <w:tc>
          <w:tcPr>
            <w:gridSpan w:val="7"/>
          </w:tcPr>
          <w:p>
            <w:pPr>
              <w:pStyle w:val="Compact"/>
              <w:jc w:val="left"/>
            </w:pPr>
            <w:r>
              <w:t xml:space="preserve">Total Material Emissions</w:t>
            </w:r>
          </w:p>
        </w:tc>
        <w:tc>
          <w:tcPr/>
          <w:p>
            <w:pPr>
              <w:pStyle w:val="Compact"/>
              <w:jc w:val="left"/>
            </w:pPr>
            <w:r>
              <w:t xml:space="preserve">6.50</w:t>
            </w:r>
          </w:p>
        </w:tc>
      </w:tr>
    </w:tbl>
    <w:p>
      <w:pPr>
        <w:pStyle w:val="BodyText"/>
      </w:pPr>
      <w:r>
        <w:t xml:space="preserve">The total mass of the product is estimated to be approximately 1.0 kg based on the sum of material quantities (0.5 + 0.2 + 0.1 + 0.15 + 0.05 = 1.0 kg, assuming PCB and electronic components contribute 0.15 kg and 0.05 kg respectively to the total mass).</w:t>
      </w:r>
    </w:p>
    <w:bookmarkEnd w:id="30"/>
    <w:bookmarkStart w:id="31" w:name="production-energy-inputs---scope-2"/>
    <w:p>
      <w:pPr>
        <w:pStyle w:val="Heading4"/>
      </w:pPr>
      <w:r>
        <w:t xml:space="preserve">Production Energy Inputs - Scope 2</w:t>
      </w:r>
    </w:p>
    <w:p>
      <w:pPr>
        <w:numPr>
          <w:ilvl w:val="0"/>
          <w:numId w:val="1008"/>
        </w:numPr>
        <w:pStyle w:val="Compact"/>
      </w:pPr>
      <w:r>
        <w:rPr>
          <w:bCs/>
          <w:b/>
        </w:rPr>
        <w:t xml:space="preserve">Renewable Energy Usage (gzuviqnrws):</w:t>
      </w:r>
      <w:r>
        <w:t xml:space="preserve"> </w:t>
      </w:r>
      <w:r>
        <w:t xml:space="preserve">75%</w:t>
      </w:r>
    </w:p>
    <w:p>
      <w:pPr>
        <w:numPr>
          <w:ilvl w:val="0"/>
          <w:numId w:val="1008"/>
        </w:numPr>
        <w:pStyle w:val="Compact"/>
      </w:pPr>
      <w:r>
        <w:rPr>
          <w:bCs/>
          <w:b/>
        </w:rPr>
        <w:t xml:space="preserve">Energy Intensity (jhhkodyory):</w:t>
      </w:r>
      <w:r>
        <w:t xml:space="preserve"> </w:t>
      </w:r>
      <w:r>
        <w:t xml:space="preserve">15 kWh/unit</w:t>
      </w:r>
    </w:p>
    <w:p>
      <w:pPr>
        <w:numPr>
          <w:ilvl w:val="0"/>
          <w:numId w:val="1008"/>
        </w:numPr>
        <w:pStyle w:val="Compact"/>
      </w:pPr>
      <w:r>
        <w:rPr>
          <w:bCs/>
          <w:b/>
        </w:rPr>
        <w:t xml:space="preserve">Electricity Grid Emission Factor (China):</w:t>
      </w:r>
      <w:r>
        <w:t xml:space="preserve"> </w:t>
      </w:r>
      <w:r>
        <w:t xml:space="preserve">0.6205 kg CO2e/kWh (National Average Electricity Carbon Footprint Factor for 2023)</w:t>
      </w:r>
    </w:p>
    <w:bookmarkEnd w:id="31"/>
    <w:bookmarkStart w:id="32" w:name="Xce5f049bb35e447b6a1e9303b1aa3f7efacf172"/>
    <w:p>
      <w:pPr>
        <w:pStyle w:val="Heading4"/>
      </w:pPr>
      <w:r>
        <w:t xml:space="preserve">Transport &amp; Logistics - Scope 3 Upstream &amp; Downstream</w:t>
      </w:r>
    </w:p>
    <w:p>
      <w:pPr>
        <w:numPr>
          <w:ilvl w:val="0"/>
          <w:numId w:val="1009"/>
        </w:numPr>
        <w:pStyle w:val="Compact"/>
      </w:pPr>
      <w:r>
        <w:rPr>
          <w:bCs/>
          <w:b/>
        </w:rPr>
        <w:t xml:space="preserve">Inbound Transport (Raw Materials):</w:t>
      </w:r>
    </w:p>
    <w:p>
      <w:pPr>
        <w:numPr>
          <w:ilvl w:val="1"/>
          <w:numId w:val="1010"/>
        </w:numPr>
        <w:pStyle w:val="Compact"/>
      </w:pPr>
      <w:r>
        <w:rPr>
          <w:bCs/>
          <w:b/>
        </w:rPr>
        <w:t xml:space="preserve">Assumed Mode:</w:t>
      </w:r>
      <w:r>
        <w:t xml:space="preserve"> </w:t>
      </w:r>
      <w:r>
        <w:t xml:space="preserve">Road freight (HGV &gt; 20t)</w:t>
      </w:r>
    </w:p>
    <w:p>
      <w:pPr>
        <w:numPr>
          <w:ilvl w:val="1"/>
          <w:numId w:val="1010"/>
        </w:numPr>
        <w:pStyle w:val="Compact"/>
      </w:pPr>
      <w:r>
        <w:rPr>
          <w:bCs/>
          <w:b/>
        </w:rPr>
        <w:t xml:space="preserve">Assumed Distance:</w:t>
      </w:r>
      <w:r>
        <w:t xml:space="preserve"> </w:t>
      </w:r>
      <w:r>
        <w:t xml:space="preserve">1000 km (average for European supply chain focus for materials)</w:t>
      </w:r>
    </w:p>
    <w:p>
      <w:pPr>
        <w:numPr>
          <w:ilvl w:val="1"/>
          <w:numId w:val="1010"/>
        </w:numPr>
        <w:pStyle w:val="Compact"/>
      </w:pPr>
      <w:r>
        <w:rPr>
          <w:bCs/>
          <w:b/>
        </w:rPr>
        <w:t xml:space="preserve">Assumed Load:</w:t>
      </w:r>
      <w:r>
        <w:t xml:space="preserve"> </w:t>
      </w:r>
      <w:r>
        <w:t xml:space="preserve">0.5 kg (representative for raw materials needed for one unit)</w:t>
      </w:r>
    </w:p>
    <w:p>
      <w:pPr>
        <w:numPr>
          <w:ilvl w:val="1"/>
          <w:numId w:val="1010"/>
        </w:numPr>
        <w:pStyle w:val="Compact"/>
      </w:pPr>
      <w:r>
        <w:rPr>
          <w:bCs/>
          <w:b/>
        </w:rPr>
        <w:t xml:space="preserve">Emission Factor:</w:t>
      </w:r>
      <w:r>
        <w:t xml:space="preserve"> </w:t>
      </w:r>
      <w:r>
        <w:t xml:space="preserve">0.09 kg CO2e/tkm (ecoinvent for lorry &gt;32t, EURO3)</w:t>
      </w:r>
    </w:p>
    <w:p>
      <w:pPr>
        <w:numPr>
          <w:ilvl w:val="0"/>
          <w:numId w:val="1009"/>
        </w:numPr>
        <w:pStyle w:val="Compact"/>
      </w:pPr>
      <w:r>
        <w:rPr>
          <w:bCs/>
          <w:b/>
        </w:rPr>
        <w:t xml:space="preserve">Finished Product Transport (Factory Gate in China to European Distribution Hub):</w:t>
      </w:r>
    </w:p>
    <w:p>
      <w:pPr>
        <w:numPr>
          <w:ilvl w:val="1"/>
          <w:numId w:val="1011"/>
        </w:numPr>
        <w:pStyle w:val="Compact"/>
      </w:pPr>
      <w:r>
        <w:rPr>
          <w:bCs/>
          <w:b/>
        </w:rPr>
        <w:t xml:space="preserve">Transport Mode (Select Mode):</w:t>
      </w:r>
      <w:r>
        <w:t xml:space="preserve"> </w:t>
      </w:r>
      <w:r>
        <w:t xml:space="preserve">Road freight (HGV &gt; 20t)</w:t>
      </w:r>
    </w:p>
    <w:p>
      <w:pPr>
        <w:numPr>
          <w:ilvl w:val="1"/>
          <w:numId w:val="1011"/>
        </w:numPr>
        <w:pStyle w:val="Compact"/>
      </w:pPr>
      <w:r>
        <w:rPr>
          <w:bCs/>
          <w:b/>
        </w:rPr>
        <w:t xml:space="preserve">Transport Distance (spsfftwsrq):</w:t>
      </w:r>
      <w:r>
        <w:t xml:space="preserve"> </w:t>
      </w:r>
      <w:r>
        <w:t xml:space="preserve">1500 km</w:t>
      </w:r>
    </w:p>
    <w:p>
      <w:pPr>
        <w:numPr>
          <w:ilvl w:val="1"/>
          <w:numId w:val="1011"/>
        </w:numPr>
        <w:pStyle w:val="Compact"/>
      </w:pPr>
      <w:r>
        <w:rPr>
          <w:bCs/>
          <w:b/>
        </w:rPr>
        <w:t xml:space="preserve">Product Weight:</w:t>
      </w:r>
      <w:r>
        <w:t xml:space="preserve"> </w:t>
      </w:r>
      <w:r>
        <w:t xml:space="preserve">1.0 kg (0.001 tonne)</w:t>
      </w:r>
    </w:p>
    <w:p>
      <w:pPr>
        <w:numPr>
          <w:ilvl w:val="1"/>
          <w:numId w:val="1011"/>
        </w:numPr>
        <w:pStyle w:val="Compact"/>
      </w:pPr>
      <w:r>
        <w:rPr>
          <w:bCs/>
          <w:b/>
        </w:rPr>
        <w:t xml:space="preserve">Emission Factor:</w:t>
      </w:r>
      <w:r>
        <w:t xml:space="preserve"> </w:t>
      </w:r>
      <w:r>
        <w:t xml:space="preserve">0.09 kg CO2e/tkm (ecoinvent for lorry &gt;32t, EURO3)</w:t>
      </w:r>
    </w:p>
    <w:p>
      <w:pPr>
        <w:numPr>
          <w:ilvl w:val="0"/>
          <w:numId w:val="1009"/>
        </w:numPr>
        <w:pStyle w:val="Compact"/>
      </w:pPr>
      <w:r>
        <w:rPr>
          <w:bCs/>
          <w:b/>
        </w:rPr>
        <w:t xml:space="preserve">Last-Mile Delivery (Delivery Type):</w:t>
      </w:r>
    </w:p>
    <w:p>
      <w:pPr>
        <w:numPr>
          <w:ilvl w:val="1"/>
          <w:numId w:val="1012"/>
        </w:numPr>
        <w:pStyle w:val="Compact"/>
      </w:pPr>
      <w:r>
        <w:rPr>
          <w:bCs/>
          <w:b/>
        </w:rPr>
        <w:t xml:space="preserve">Delivery Channel:</w:t>
      </w:r>
      <w:r>
        <w:t xml:space="preserve"> </w:t>
      </w:r>
      <w:r>
        <w:t xml:space="preserve">Parcel delivery van (diesel)</w:t>
      </w:r>
    </w:p>
    <w:p>
      <w:pPr>
        <w:numPr>
          <w:ilvl w:val="1"/>
          <w:numId w:val="1012"/>
        </w:numPr>
        <w:pStyle w:val="Compact"/>
      </w:pPr>
      <w:r>
        <w:rPr>
          <w:bCs/>
          <w:b/>
        </w:rPr>
        <w:t xml:space="preserve">Assumed Distance per Delivery Route:</w:t>
      </w:r>
      <w:r>
        <w:t xml:space="preserve"> </w:t>
      </w:r>
      <w:r>
        <w:t xml:space="preserve">50 km</w:t>
      </w:r>
    </w:p>
    <w:p>
      <w:pPr>
        <w:numPr>
          <w:ilvl w:val="1"/>
          <w:numId w:val="1012"/>
        </w:numPr>
        <w:pStyle w:val="Compact"/>
      </w:pPr>
      <w:r>
        <w:rPr>
          <w:bCs/>
          <w:b/>
        </w:rPr>
        <w:t xml:space="preserve">Assumed Deliveries per Route:</w:t>
      </w:r>
      <w:r>
        <w:t xml:space="preserve"> </w:t>
      </w:r>
      <w:r>
        <w:t xml:space="preserve">100 units</w:t>
      </w:r>
    </w:p>
    <w:p>
      <w:pPr>
        <w:numPr>
          <w:ilvl w:val="1"/>
          <w:numId w:val="1012"/>
        </w:numPr>
        <w:pStyle w:val="Compact"/>
      </w:pPr>
      <w:r>
        <w:rPr>
          <w:bCs/>
          <w:b/>
        </w:rPr>
        <w:t xml:space="preserve">Emission Factor:</w:t>
      </w:r>
      <w:r>
        <w:t xml:space="preserve"> </w:t>
      </w:r>
      <w:r>
        <w:t xml:space="preserve">0.25 kg CO2e/km (DEFRA 2023 for Class III van)</w:t>
      </w:r>
    </w:p>
    <w:bookmarkEnd w:id="32"/>
    <w:bookmarkStart w:id="33" w:name="use-phase---scope-3-downstream"/>
    <w:p>
      <w:pPr>
        <w:pStyle w:val="Heading4"/>
      </w:pPr>
      <w:r>
        <w:t xml:space="preserve">Use Phase - Scope 3 Downstream</w:t>
      </w:r>
    </w:p>
    <w:p>
      <w:pPr>
        <w:numPr>
          <w:ilvl w:val="0"/>
          <w:numId w:val="1013"/>
        </w:numPr>
        <w:pStyle w:val="Compact"/>
      </w:pPr>
      <w:r>
        <w:rPr>
          <w:bCs/>
          <w:b/>
        </w:rPr>
        <w:t xml:space="preserve">Product Lifespan (qdgnrejtne):</w:t>
      </w:r>
      <w:r>
        <w:t xml:space="preserve"> </w:t>
      </w:r>
      <w:r>
        <w:t xml:space="preserve">7 years</w:t>
      </w:r>
    </w:p>
    <w:p>
      <w:pPr>
        <w:numPr>
          <w:ilvl w:val="0"/>
          <w:numId w:val="1013"/>
        </w:numPr>
        <w:pStyle w:val="Compact"/>
      </w:pPr>
      <w:r>
        <w:rPr>
          <w:bCs/>
          <w:b/>
        </w:rPr>
        <w:t xml:space="preserve">Energy Consumption in Use (roepquyknl):</w:t>
      </w:r>
      <w:r>
        <w:t xml:space="preserve"> </w:t>
      </w:r>
      <w:r>
        <w:t xml:space="preserve">5 kWh/year</w:t>
      </w:r>
    </w:p>
    <w:p>
      <w:pPr>
        <w:numPr>
          <w:ilvl w:val="0"/>
          <w:numId w:val="1013"/>
        </w:numPr>
        <w:pStyle w:val="Compact"/>
      </w:pPr>
      <w:r>
        <w:rPr>
          <w:bCs/>
          <w:b/>
        </w:rPr>
        <w:t xml:space="preserve">Electricity Grid Emission Factor (Europe Average):</w:t>
      </w:r>
      <w:r>
        <w:t xml:space="preserve"> </w:t>
      </w:r>
      <w:r>
        <w:t xml:space="preserve">0.181 kg CO2e/kWh (PwC European Carbon Factor 2024)</w:t>
      </w:r>
    </w:p>
    <w:bookmarkEnd w:id="33"/>
    <w:bookmarkStart w:id="34" w:name="X3ed54dfac52a85c01ea3ee439e2101482550c19"/>
    <w:p>
      <w:pPr>
        <w:pStyle w:val="Heading4"/>
      </w:pPr>
      <w:r>
        <w:t xml:space="preserve">End-of-Life (EoL) Scenarios - Scope 3 Downstream</w:t>
      </w:r>
    </w:p>
    <w:p>
      <w:pPr>
        <w:numPr>
          <w:ilvl w:val="0"/>
          <w:numId w:val="1014"/>
        </w:numPr>
        <w:pStyle w:val="Compact"/>
      </w:pPr>
      <w:r>
        <w:rPr>
          <w:bCs/>
          <w:b/>
        </w:rPr>
        <w:t xml:space="preserve">Recyclability Percentage (iqhpzrqhxj):</w:t>
      </w:r>
      <w:r>
        <w:t xml:space="preserve"> </w:t>
      </w:r>
      <w:r>
        <w:t xml:space="preserve">85%</w:t>
      </w:r>
    </w:p>
    <w:p>
      <w:pPr>
        <w:numPr>
          <w:ilvl w:val="0"/>
          <w:numId w:val="1014"/>
        </w:numPr>
        <w:pStyle w:val="Compact"/>
      </w:pPr>
      <w:r>
        <w:rPr>
          <w:bCs/>
          <w:b/>
        </w:rPr>
        <w:t xml:space="preserve">Circular/Take-back Programs (oqmpzdspwl):</w:t>
      </w:r>
      <w:r>
        <w:t xml:space="preserve"> </w:t>
      </w:r>
      <w:r>
        <w:t xml:space="preserve">Yes, established program with material recovery. This program significantly contributes to the high recyclability percentage.</w:t>
      </w:r>
    </w:p>
    <w:p>
      <w:pPr>
        <w:numPr>
          <w:ilvl w:val="0"/>
          <w:numId w:val="1014"/>
        </w:numPr>
        <w:pStyle w:val="Compact"/>
      </w:pPr>
      <w:r>
        <w:rPr>
          <w:bCs/>
          <w:b/>
        </w:rPr>
        <w:t xml:space="preserve">Product Weight for EoL:</w:t>
      </w:r>
      <w:r>
        <w:t xml:space="preserve"> </w:t>
      </w:r>
      <w:r>
        <w:t xml:space="preserve">1.0 kg</w:t>
      </w:r>
    </w:p>
    <w:p>
      <w:pPr>
        <w:numPr>
          <w:ilvl w:val="0"/>
          <w:numId w:val="1014"/>
        </w:numPr>
        <w:pStyle w:val="Compact"/>
      </w:pPr>
      <w:r>
        <w:rPr>
          <w:bCs/>
          <w:b/>
        </w:rPr>
        <w:t xml:space="preserve">Assumed Landfill Emission Factor (Mixed Waste):</w:t>
      </w:r>
      <w:r>
        <w:t xml:space="preserve"> </w:t>
      </w:r>
      <w:r>
        <w:t xml:space="preserve">0.5 kg CO2e/kg (representative industry average)</w:t>
      </w:r>
    </w:p>
    <w:bookmarkEnd w:id="34"/>
    <w:bookmarkEnd w:id="35"/>
    <w:bookmarkStart w:id="41" w:name="emission-calculation"/>
    <w:p>
      <w:pPr>
        <w:pStyle w:val="Heading3"/>
      </w:pPr>
      <w:r>
        <w:t xml:space="preserve">4. Emission Calculation</w:t>
      </w:r>
    </w:p>
    <w:bookmarkStart w:id="36" w:name="scope-3-upstream-emissions-materials"/>
    <w:p>
      <w:pPr>
        <w:pStyle w:val="Heading4"/>
      </w:pPr>
      <w:r>
        <w:t xml:space="preserve">Scope 3: Upstream Emissions (Materials)</w:t>
      </w:r>
    </w:p>
    <w:p>
      <w:pPr>
        <w:pStyle w:val="FirstParagraph"/>
      </w:pPr>
      <w:r>
        <w:t xml:space="preserve">Calculated directly from the provided BOM data, summing the \'Total Carbon\' for each component.</w:t>
      </w:r>
    </w:p>
    <w:p>
      <w:pPr>
        <w:numPr>
          <w:ilvl w:val="0"/>
          <w:numId w:val="1015"/>
        </w:numPr>
        <w:pStyle w:val="Compact"/>
      </w:pPr>
      <w:r>
        <w:t xml:space="preserve">Aluminium Casing: 2.50 kg CO2e</w:t>
      </w:r>
    </w:p>
    <w:p>
      <w:pPr>
        <w:numPr>
          <w:ilvl w:val="0"/>
          <w:numId w:val="1015"/>
        </w:numPr>
        <w:pStyle w:val="Compact"/>
      </w:pPr>
      <w:r>
        <w:t xml:space="preserve">ABS Plastic Enclosure: 0.60 kg CO2e</w:t>
      </w:r>
    </w:p>
    <w:p>
      <w:pPr>
        <w:numPr>
          <w:ilvl w:val="0"/>
          <w:numId w:val="1015"/>
        </w:numPr>
        <w:pStyle w:val="Compact"/>
      </w:pPr>
      <w:r>
        <w:t xml:space="preserve">Copper Wiring: 0.40 kg CO2e</w:t>
      </w:r>
    </w:p>
    <w:p>
      <w:pPr>
        <w:numPr>
          <w:ilvl w:val="0"/>
          <w:numId w:val="1015"/>
        </w:numPr>
        <w:pStyle w:val="Compact"/>
      </w:pPr>
      <w:r>
        <w:t xml:space="preserve">Printed Circuit Board: 2.00 kg CO2e</w:t>
      </w:r>
    </w:p>
    <w:p>
      <w:pPr>
        <w:numPr>
          <w:ilvl w:val="0"/>
          <w:numId w:val="1015"/>
        </w:numPr>
        <w:pStyle w:val="Compact"/>
      </w:pPr>
      <w:r>
        <w:t xml:space="preserve">Electronic Components: 1.00 kg CO2e</w:t>
      </w:r>
    </w:p>
    <w:p>
      <w:pPr>
        <w:numPr>
          <w:ilvl w:val="0"/>
          <w:numId w:val="1015"/>
        </w:numPr>
        <w:pStyle w:val="Compact"/>
      </w:pPr>
      <w:r>
        <w:rPr>
          <w:bCs/>
          <w:b/>
        </w:rPr>
        <w:t xml:space="preserve">Total Material Emissions: 6.50 kg CO2e</w:t>
      </w:r>
    </w:p>
    <w:bookmarkEnd w:id="36"/>
    <w:bookmarkStart w:id="37" w:name="X31a83b4b70a317e445d6fef5bd812f4093a77d6"/>
    <w:p>
      <w:pPr>
        <w:pStyle w:val="Heading4"/>
      </w:pPr>
      <w:r>
        <w:t xml:space="preserve">Scope 2: Purchased Electricity (Manufacturing)</w:t>
      </w:r>
    </w:p>
    <w:p>
      <w:pPr>
        <w:pStyle w:val="FirstParagraph"/>
      </w:pPr>
      <w:r>
        <w:t xml:space="preserve">Emissions from the non-renewable portion of electricity consumed during manufacturing.</w:t>
      </w:r>
    </w:p>
    <w:p>
      <w:pPr>
        <w:numPr>
          <w:ilvl w:val="0"/>
          <w:numId w:val="1016"/>
        </w:numPr>
        <w:pStyle w:val="Compact"/>
      </w:pPr>
      <w:r>
        <w:t xml:space="preserve">Total Energy for Manufacturing: 15 kWh/unit</w:t>
      </w:r>
    </w:p>
    <w:p>
      <w:pPr>
        <w:numPr>
          <w:ilvl w:val="0"/>
          <w:numId w:val="1016"/>
        </w:numPr>
        <w:pStyle w:val="Compact"/>
      </w:pPr>
      <w:r>
        <w:t xml:space="preserve">Non-renewable Energy Share: 1 - 0.75 = 0.25 (25%)</w:t>
      </w:r>
    </w:p>
    <w:p>
      <w:pPr>
        <w:numPr>
          <w:ilvl w:val="0"/>
          <w:numId w:val="1016"/>
        </w:numPr>
        <w:pStyle w:val="Compact"/>
      </w:pPr>
      <w:r>
        <w:t xml:space="preserve">Non-renewable Energy Consumed: 15 kWh/unit * 0.25 = 3.75 kWh/unit</w:t>
      </w:r>
    </w:p>
    <w:p>
      <w:pPr>
        <w:numPr>
          <w:ilvl w:val="0"/>
          <w:numId w:val="1016"/>
        </w:numPr>
        <w:pStyle w:val="Compact"/>
      </w:pPr>
      <w:r>
        <w:t xml:space="preserve">Emissions Factor (China Grid): 0.6205 kg CO2e/kWh</w:t>
      </w:r>
    </w:p>
    <w:p>
      <w:pPr>
        <w:numPr>
          <w:ilvl w:val="0"/>
          <w:numId w:val="1016"/>
        </w:numPr>
        <w:pStyle w:val="Compact"/>
      </w:pPr>
      <w:r>
        <w:rPr>
          <w:bCs/>
          <w:b/>
        </w:rPr>
        <w:t xml:space="preserve">Total Manufacturing Energy Emissions: 3.75 kWh/unit * 0.6205 kg CO2e/kWh = 2.33 kg CO2e</w:t>
      </w:r>
    </w:p>
    <w:bookmarkEnd w:id="37"/>
    <w:bookmarkStart w:id="38" w:name="scope-3-transport-logistics"/>
    <w:p>
      <w:pPr>
        <w:pStyle w:val="Heading4"/>
      </w:pPr>
      <w:r>
        <w:t xml:space="preserve">Scope 3: Transport &amp; Logistics</w:t>
      </w:r>
    </w:p>
    <w:p>
      <w:pPr>
        <w:pStyle w:val="FirstParagraph"/>
      </w:pPr>
      <w:r>
        <w:t xml:space="preserve">Emissions from both inbound raw material transport and outbound finished product distribution.</w:t>
      </w:r>
    </w:p>
    <w:p>
      <w:pPr>
        <w:numPr>
          <w:ilvl w:val="0"/>
          <w:numId w:val="1017"/>
        </w:numPr>
        <w:pStyle w:val="Compact"/>
      </w:pPr>
      <w:r>
        <w:rPr>
          <w:bCs/>
          <w:b/>
        </w:rPr>
        <w:t xml:space="preserve">Inbound Transport (Raw Materials, estimated):</w:t>
      </w:r>
      <w:r>
        <w:t xml:space="preserve"> </w:t>
      </w:r>
      <w:r>
        <w:t xml:space="preserve">0.5 kg * 1000 km * 0.09 kg CO2e/tkm = 0.045 kg CO2e</w:t>
      </w:r>
    </w:p>
    <w:p>
      <w:pPr>
        <w:numPr>
          <w:ilvl w:val="0"/>
          <w:numId w:val="1017"/>
        </w:numPr>
        <w:pStyle w:val="Compact"/>
      </w:pPr>
      <w:r>
        <w:rPr>
          <w:bCs/>
          <w:b/>
        </w:rPr>
        <w:t xml:space="preserve">Finished Product Transport (China to Europe):</w:t>
      </w:r>
      <w:r>
        <w:t xml:space="preserve"> </w:t>
      </w:r>
      <w:r>
        <w:t xml:space="preserve">0.001 tonne * 1500 km * 0.09 kg CO2e/tkm = 0.135 kg CO2e</w:t>
      </w:r>
    </w:p>
    <w:p>
      <w:pPr>
        <w:numPr>
          <w:ilvl w:val="0"/>
          <w:numId w:val="1017"/>
        </w:numPr>
        <w:pStyle w:val="Compact"/>
      </w:pPr>
      <w:r>
        <w:rPr>
          <w:bCs/>
          <w:b/>
        </w:rPr>
        <w:t xml:space="preserve">Last-Mile Delivery (Europe, per unit allocation):</w:t>
      </w:r>
      <w:r>
        <w:t xml:space="preserve"> </w:t>
      </w:r>
      <w:r>
        <w:t xml:space="preserve">(50 km * 0.25 kg CO2e/km) / 100 units = 0.125 kg CO2e</w:t>
      </w:r>
    </w:p>
    <w:p>
      <w:pPr>
        <w:numPr>
          <w:ilvl w:val="0"/>
          <w:numId w:val="1017"/>
        </w:numPr>
        <w:pStyle w:val="Compact"/>
      </w:pPr>
      <w:r>
        <w:rPr>
          <w:bCs/>
          <w:b/>
        </w:rPr>
        <w:t xml:space="preserve">Total Transport Emissions: 0.045 + 0.135 + 0.125 = 0.31 kg CO2e</w:t>
      </w:r>
    </w:p>
    <w:bookmarkEnd w:id="38"/>
    <w:bookmarkStart w:id="39" w:name="scope-3-use-phase"/>
    <w:p>
      <w:pPr>
        <w:pStyle w:val="Heading4"/>
      </w:pPr>
      <w:r>
        <w:t xml:space="preserve">Scope 3: Use Phase</w:t>
      </w:r>
    </w:p>
    <w:p>
      <w:pPr>
        <w:pStyle w:val="FirstParagraph"/>
      </w:pPr>
      <w:r>
        <w:t xml:space="preserve">Emissions from electricity consumption over the product\'s lifespan.</w:t>
      </w:r>
    </w:p>
    <w:p>
      <w:pPr>
        <w:numPr>
          <w:ilvl w:val="0"/>
          <w:numId w:val="1018"/>
        </w:numPr>
        <w:pStyle w:val="Compact"/>
      </w:pPr>
      <w:r>
        <w:t xml:space="preserve">Annual Energy Consumption: 5 kWh/year</w:t>
      </w:r>
    </w:p>
    <w:p>
      <w:pPr>
        <w:numPr>
          <w:ilvl w:val="0"/>
          <w:numId w:val="1018"/>
        </w:numPr>
        <w:pStyle w:val="Compact"/>
      </w:pPr>
      <w:r>
        <w:t xml:space="preserve">Product Lifespan: 7 years</w:t>
      </w:r>
    </w:p>
    <w:p>
      <w:pPr>
        <w:numPr>
          <w:ilvl w:val="0"/>
          <w:numId w:val="1018"/>
        </w:numPr>
        <w:pStyle w:val="Compact"/>
      </w:pPr>
      <w:r>
        <w:t xml:space="preserve">Total Energy Consumption over Lifespan: 5 kWh/year * 7 years = 35 kWh</w:t>
      </w:r>
    </w:p>
    <w:p>
      <w:pPr>
        <w:numPr>
          <w:ilvl w:val="0"/>
          <w:numId w:val="1018"/>
        </w:numPr>
        <w:pStyle w:val="Compact"/>
      </w:pPr>
      <w:r>
        <w:t xml:space="preserve">Emissions Factor (Europe Average Grid): 0.181 kg CO2e/kWh</w:t>
      </w:r>
    </w:p>
    <w:p>
      <w:pPr>
        <w:numPr>
          <w:ilvl w:val="0"/>
          <w:numId w:val="1018"/>
        </w:numPr>
        <w:pStyle w:val="Compact"/>
      </w:pPr>
      <w:r>
        <w:rPr>
          <w:bCs/>
          <w:b/>
        </w:rPr>
        <w:t xml:space="preserve">Total Use Phase Emissions: 35 kWh * 0.181 kg CO2e/kWh = 6.34 kg CO2e</w:t>
      </w:r>
    </w:p>
    <w:bookmarkEnd w:id="39"/>
    <w:bookmarkStart w:id="40" w:name="scope-3-end-of-life-eol"/>
    <w:p>
      <w:pPr>
        <w:pStyle w:val="Heading4"/>
      </w:pPr>
      <w:r>
        <w:t xml:space="preserve">Scope 3: End-of-Life (EoL)</w:t>
      </w:r>
    </w:p>
    <w:p>
      <w:pPr>
        <w:pStyle w:val="FirstParagraph"/>
      </w:pPr>
      <w:r>
        <w:t xml:space="preserve">Emissions from the disposal of the non-recycled portion of the product.</w:t>
      </w:r>
    </w:p>
    <w:p>
      <w:pPr>
        <w:numPr>
          <w:ilvl w:val="0"/>
          <w:numId w:val="1019"/>
        </w:numPr>
        <w:pStyle w:val="Compact"/>
      </w:pPr>
      <w:r>
        <w:t xml:space="preserve">Product Weight: 1.0 kg</w:t>
      </w:r>
    </w:p>
    <w:p>
      <w:pPr>
        <w:numPr>
          <w:ilvl w:val="0"/>
          <w:numId w:val="1019"/>
        </w:numPr>
        <w:pStyle w:val="Compact"/>
      </w:pPr>
      <w:r>
        <w:t xml:space="preserve">Non-recycled Portion: 1.0 kg * (1 - 0.85) = 0.15 kg</w:t>
      </w:r>
    </w:p>
    <w:p>
      <w:pPr>
        <w:numPr>
          <w:ilvl w:val="0"/>
          <w:numId w:val="1019"/>
        </w:numPr>
        <w:pStyle w:val="Compact"/>
      </w:pPr>
      <w:r>
        <w:t xml:space="preserve">Emissions Factor (Mixed Waste Landfill): 0.5 kg CO2e/kg</w:t>
      </w:r>
    </w:p>
    <w:p>
      <w:pPr>
        <w:numPr>
          <w:ilvl w:val="0"/>
          <w:numId w:val="1019"/>
        </w:numPr>
        <w:pStyle w:val="Compact"/>
      </w:pPr>
      <w:r>
        <w:rPr>
          <w:bCs/>
          <w:b/>
        </w:rPr>
        <w:t xml:space="preserve">Total End-of-Life Emissions: 0.15 kg * 0.5 kg CO2e/kg = 0.08 kg CO2e</w:t>
      </w:r>
    </w:p>
    <w:bookmarkEnd w:id="40"/>
    <w:bookmarkEnd w:id="41"/>
    <w:bookmarkStart w:id="45" w:name="review-report"/>
    <w:p>
      <w:pPr>
        <w:pStyle w:val="Heading3"/>
      </w:pPr>
      <w:r>
        <w:t xml:space="preserve">5. Review &amp; Report</w:t>
      </w:r>
    </w:p>
    <w:bookmarkStart w:id="42" w:name="X1a7dffadb7ba6369f61c359ea000d8a8fe342cd"/>
    <w:p>
      <w:pPr>
        <w:pStyle w:val="Heading4"/>
      </w:pPr>
      <w:r>
        <w:t xml:space="preserve">Total Product Carbon Footprint for syhrllrmsv (per 1.0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Materials (Raw Material Acquisition &amp; Processing)</w:t>
            </w:r>
          </w:p>
        </w:tc>
        <w:tc>
          <w:tcPr/>
          <w:p>
            <w:pPr>
              <w:pStyle w:val="Compact"/>
              <w:jc w:val="left"/>
            </w:pPr>
            <w:r>
              <w:t xml:space="preserve">Scope 3 (Upstream)</w:t>
            </w:r>
          </w:p>
        </w:tc>
        <w:tc>
          <w:tcPr/>
          <w:p>
            <w:pPr>
              <w:pStyle w:val="Compact"/>
              <w:jc w:val="left"/>
            </w:pPr>
            <w:r>
              <w:t xml:space="preserve">6.50</w:t>
            </w:r>
          </w:p>
        </w:tc>
        <w:tc>
          <w:tcPr/>
          <w:p>
            <w:pPr>
              <w:pStyle w:val="Compact"/>
              <w:jc w:val="left"/>
            </w:pPr>
            <w:r>
              <w:t xml:space="preserve">41.8%</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2.33</w:t>
            </w:r>
          </w:p>
        </w:tc>
        <w:tc>
          <w:tcPr/>
          <w:p>
            <w:pPr>
              <w:pStyle w:val="Compact"/>
              <w:jc w:val="left"/>
            </w:pPr>
            <w:r>
              <w:t xml:space="preserve">15.0%</w:t>
            </w:r>
          </w:p>
        </w:tc>
      </w:tr>
      <w:tr>
        <w:tc>
          <w:tcPr/>
          <w:p>
            <w:pPr>
              <w:pStyle w:val="Compact"/>
              <w:jc w:val="left"/>
            </w:pPr>
            <w:r>
              <w:t xml:space="preserve">Transport &amp; Logistics (Inbound &amp; Outbound)</w:t>
            </w:r>
          </w:p>
        </w:tc>
        <w:tc>
          <w:tcPr/>
          <w:p>
            <w:pPr>
              <w:pStyle w:val="Compact"/>
              <w:jc w:val="left"/>
            </w:pPr>
            <w:r>
              <w:t xml:space="preserve">Scope 3 (Upstream &amp; Downstream)</w:t>
            </w:r>
          </w:p>
        </w:tc>
        <w:tc>
          <w:tcPr/>
          <w:p>
            <w:pPr>
              <w:pStyle w:val="Compact"/>
              <w:jc w:val="left"/>
            </w:pPr>
            <w:r>
              <w:t xml:space="preserve">0.31</w:t>
            </w:r>
          </w:p>
        </w:tc>
        <w:tc>
          <w:tcPr/>
          <w:p>
            <w:pPr>
              <w:pStyle w:val="Compact"/>
              <w:jc w:val="left"/>
            </w:pPr>
            <w:r>
              <w:t xml:space="preserve">2.0%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6.34</w:t>
            </w:r>
          </w:p>
        </w:tc>
        <w:tc>
          <w:tcPr/>
          <w:p>
            <w:pPr>
              <w:pStyle w:val="Compact"/>
              <w:jc w:val="left"/>
            </w:pPr>
            <w:r>
              <w:t xml:space="preserve">40.8%</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0.08</w:t>
            </w:r>
          </w:p>
        </w:tc>
        <w:tc>
          <w:tcPr/>
          <w:p>
            <w:pPr>
              <w:pStyle w:val="Compact"/>
              <w:jc w:val="left"/>
            </w:pPr>
            <w:r>
              <w:t xml:space="preserve">0.5%</w:t>
            </w:r>
          </w:p>
        </w:tc>
      </w:tr>
      <w:tr>
        <w:tc>
          <w:tcPr>
            <w:gridSpan w:val="2"/>
          </w:tcPr>
          <w:p>
            <w:pPr>
              <w:pStyle w:val="Compact"/>
              <w:jc w:val="left"/>
            </w:pPr>
            <w:r>
              <w:rPr>
                <w:bCs/>
                <w:b/>
              </w:rPr>
              <w:t xml:space="preserve">Total Product Carbon Footprint</w:t>
            </w:r>
          </w:p>
        </w:tc>
        <w:tc>
          <w:tcPr/>
          <w:p>
            <w:pPr>
              <w:pStyle w:val="Compact"/>
              <w:jc w:val="left"/>
            </w:pPr>
            <w:r>
              <w:rPr>
                <w:bCs/>
                <w:b/>
              </w:rPr>
              <w:t xml:space="preserve">15.56</w:t>
            </w:r>
          </w:p>
        </w:tc>
        <w:tc>
          <w:tcPr/>
          <w:p>
            <w:pPr>
              <w:pStyle w:val="Compact"/>
              <w:jc w:val="left"/>
            </w:pPr>
            <w:r>
              <w:rPr>
                <w:bCs/>
                <w:b/>
              </w:rPr>
              <w:t xml:space="preserve">100.0%</w:t>
            </w:r>
          </w:p>
        </w:tc>
      </w:tr>
    </w:tbl>
    <w:p>
      <w:pPr>
        <w:pStyle w:val="BodyText"/>
      </w:pPr>
      <w:r>
        <w:t xml:space="preserve">The total Product Carbon Footprint for one functional unit of</w:t>
      </w:r>
      <w:r>
        <w:t xml:space="preserve"> </w:t>
      </w:r>
      <w:r>
        <w:t xml:space="preserve">syhrllrmsv</w:t>
      </w:r>
      <w:r>
        <w:t xml:space="preserve"> </w:t>
      </w:r>
      <w:r>
        <w:t xml:space="preserve">is calculated to be</w:t>
      </w:r>
      <w:r>
        <w:t xml:space="preserve"> </w:t>
      </w:r>
      <w:r>
        <w:t xml:space="preserve">15.56 kg CO2e</w:t>
      </w:r>
      <w:r>
        <w:t xml:space="preserve">.</w:t>
      </w:r>
    </w:p>
    <w:bookmarkEnd w:id="42"/>
    <w:bookmarkStart w:id="43" w:name="key-hotspots-and-recommendations"/>
    <w:p>
      <w:pPr>
        <w:pStyle w:val="Heading4"/>
      </w:pPr>
      <w:r>
        <w:t xml:space="preserve">Key Hotspots and Recommendations</w:t>
      </w:r>
    </w:p>
    <w:p>
      <w:pPr>
        <w:pStyle w:val="FirstParagraph"/>
      </w:pPr>
      <w:r>
        <w:t xml:space="preserve">The analysis reveals that the primary emission hotspots for syhrllrmsv are:</w:t>
      </w:r>
    </w:p>
    <w:p>
      <w:pPr>
        <w:numPr>
          <w:ilvl w:val="0"/>
          <w:numId w:val="1020"/>
        </w:numPr>
        <w:pStyle w:val="Compact"/>
      </w:pPr>
      <w:r>
        <w:rPr>
          <w:bCs/>
          <w:b/>
        </w:rPr>
        <w:t xml:space="preserve">Materials (41.8%):</w:t>
      </w:r>
      <w:r>
        <w:t xml:space="preserve"> </w:t>
      </w:r>
      <w:r>
        <w:t xml:space="preserve">The acquisition and processing of raw materials represent the largest portion of the product\'s footprint. This is predominantly driven by the energy-intensive production of metals (e.g., aluminium, copper) and the manufacturing of electronic components.</w:t>
      </w:r>
    </w:p>
    <w:p>
      <w:pPr>
        <w:numPr>
          <w:ilvl w:val="1"/>
          <w:numId w:val="1021"/>
        </w:numPr>
        <w:pStyle w:val="Compact"/>
      </w:pPr>
      <w:r>
        <w:rPr>
          <w:bCs/>
          <w:b/>
        </w:rPr>
        <w:t xml:space="preserve">Recommendation:</w:t>
      </w:r>
      <w:r>
        <w:t xml:space="preserve"> </w:t>
      </w:r>
      <w:r>
        <w:t xml:space="preserve">Investigate opportunities for using recycled content for aluminium and other metals, explore bio-based or lower-impact plastics, and collaborate with suppliers for more transparent, low-carbon material sourcing. Optimizing material usage through design for circularity could also yield significant reductions.</w:t>
      </w:r>
    </w:p>
    <w:p>
      <w:pPr>
        <w:numPr>
          <w:ilvl w:val="0"/>
          <w:numId w:val="1020"/>
        </w:numPr>
        <w:pStyle w:val="Compact"/>
      </w:pPr>
      <w:r>
        <w:rPr>
          <w:bCs/>
          <w:b/>
        </w:rPr>
        <w:t xml:space="preserve">Use Phase (40.8%):</w:t>
      </w:r>
      <w:r>
        <w:t xml:space="preserve"> </w:t>
      </w:r>
      <w:r>
        <w:t xml:space="preserve">The energy consumption during the product\'s lifespan contributes almost as much as material production. This highlights the importance of user behavior and energy efficiency.</w:t>
      </w:r>
    </w:p>
    <w:p>
      <w:pPr>
        <w:numPr>
          <w:ilvl w:val="1"/>
          <w:numId w:val="1022"/>
        </w:numPr>
        <w:pStyle w:val="Compact"/>
      </w:pPr>
      <w:r>
        <w:rPr>
          <w:bCs/>
          <w:b/>
        </w:rPr>
        <w:t xml:space="preserve">Recommendation:</w:t>
      </w:r>
      <w:r>
        <w:t xml:space="preserve"> </w:t>
      </w:r>
      <w:r>
        <w:t xml:space="preserve">Focus on improving the energy efficiency of syhrllrmsv to reduce operational energy consumption. Provide users with guidance on energy-saving practices and consider design choices that minimize energy demand during typical use.</w:t>
      </w:r>
    </w:p>
    <w:p>
      <w:pPr>
        <w:numPr>
          <w:ilvl w:val="0"/>
          <w:numId w:val="1020"/>
        </w:numPr>
        <w:pStyle w:val="Compact"/>
      </w:pPr>
      <w:r>
        <w:rPr>
          <w:bCs/>
          <w:b/>
        </w:rPr>
        <w:t xml:space="preserve">Manufacturing (15.0%):</w:t>
      </w:r>
      <w:r>
        <w:t xml:space="preserve"> </w:t>
      </w:r>
      <w:r>
        <w:t xml:space="preserve">While not the largest, the purchased electricity for manufacturing in China still presents a significant impact, especially given the current grid mix.</w:t>
      </w:r>
    </w:p>
    <w:p>
      <w:pPr>
        <w:numPr>
          <w:ilvl w:val="1"/>
          <w:numId w:val="1023"/>
        </w:numPr>
        <w:pStyle w:val="Compact"/>
      </w:pPr>
      <w:r>
        <w:rPr>
          <w:bCs/>
          <w:b/>
        </w:rPr>
        <w:t xml:space="preserve">Recommendation:</w:t>
      </w:r>
      <w:r>
        <w:t xml:space="preserve"> </w:t>
      </w:r>
      <w:r>
        <w:t xml:space="preserve">Increase the proportion of renewable energy procurement at manufacturing facilities beyond the current 75%. Explore options for on-site renewable energy generation or participation in renewable energy certificates/power purchase agreements that genuinely drive grid decarbonization.</w:t>
      </w:r>
    </w:p>
    <w:p>
      <w:pPr>
        <w:numPr>
          <w:ilvl w:val="0"/>
          <w:numId w:val="1020"/>
        </w:numPr>
        <w:pStyle w:val="Compact"/>
      </w:pPr>
      <w:r>
        <w:rPr>
          <w:bCs/>
          <w:b/>
        </w:rPr>
        <w:t xml:space="preserve">Transport &amp; End-of-Life (2.5% combined):</w:t>
      </w:r>
      <w:r>
        <w:t xml:space="preserve"> </w:t>
      </w:r>
      <w:r>
        <w:t xml:space="preserve">These stages contribute a smaller, but still relevant, portion of the overall footprint.</w:t>
      </w:r>
    </w:p>
    <w:p>
      <w:pPr>
        <w:numPr>
          <w:ilvl w:val="1"/>
          <w:numId w:val="1024"/>
        </w:numPr>
        <w:pStyle w:val="Compact"/>
      </w:pPr>
      <w:r>
        <w:rPr>
          <w:bCs/>
          <w:b/>
        </w:rPr>
        <w:t xml:space="preserve">Recommendation:</w:t>
      </w:r>
      <w:r>
        <w:t xml:space="preserve"> </w:t>
      </w:r>
      <w:r>
        <w:t xml:space="preserve">Optimize logistics routes and modes, prioritizing lower-emission options like rail or sea freight where feasible for finished goods. Continue to strengthen circular economy initiatives and take-back programs to maximize material recovery and minimize landfill, reducing EoL impacts.</w:t>
      </w:r>
    </w:p>
    <w:bookmarkEnd w:id="43"/>
    <w:bookmarkStart w:id="44" w:name="reliability-and-data-quality"/>
    <w:p>
      <w:pPr>
        <w:pStyle w:val="Heading4"/>
      </w:pPr>
      <w:r>
        <w:t xml:space="preserve">Reliability and Data Quality</w:t>
      </w:r>
    </w:p>
    <w:p>
      <w:pPr>
        <w:pStyle w:val="FirstParagraph"/>
      </w:pPr>
      <w:r>
        <w:t xml:space="preserve">The calculations are based on the provided parameters and a combination of specific and high-quality secondary data from Ecoinvent and DEFRA, considered industry standards for PCF. The use of specific Bill of Materials data significantly enhances accuracy for the material phase. Assumptions made for generic transport distances, last-mile delivery allocation, and EoL factors are based on typical industry averages and best practices for a Europe-focused supply chain originating from China. Continuous efforts to gather more primary data for transport, energy mix at specific manufacturing sites, and detailed EoL processing will further enhance the accuracy and robustness of future assessments, aligning with the GHG Protocol\'s push for data disaggregation.</w:t>
      </w:r>
    </w:p>
    <w:p>
      <w:r>
        <w:pict>
          <v:rect style="width:0;height:1.5pt" o:hralign="center" o:hrstd="t" o:hr="t"/>
        </w:pict>
      </w:r>
    </w:p>
    <w:p>
      <w:pPr>
        <w:pStyle w:val="FirstParagraph"/>
      </w:pPr>
      <w:r>
        <w:t xml:space="preserve">Confidential - Internal Use Only</w:t>
      </w:r>
    </w:p>
    <w:bookmarkEnd w:id="44"/>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syhrllrmsv</dc:title>
  <dc:creator/>
  <dc:description>High-detail Product Carbon Footprint (PCF) analysis report for syhrllrmsv, adhering to GHG Protocol standards and 2026 updates, performed by Senior Sustainability Consultant nieoxyzyjs for inkkjnzfxq.</dc:description>
  <dc:language>en</dc:language>
  <cp:keywords/>
  <dcterms:created xsi:type="dcterms:W3CDTF">2026-05-30T18:33:25Z</dcterms:created>
  <dcterms:modified xsi:type="dcterms:W3CDTF">2026-05-30T18:33:25Z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