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sxzvfmtdul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sxzvfmtdul</w:t>
      </w:r>
    </w:p>
    <w:p>
      <w:pPr>
        <w:pStyle w:val="BodyText"/>
      </w:pPr>
      <w:r>
        <w:rPr>
          <w:bCs/>
          <w:b/>
        </w:rPr>
        <w:t xml:space="preserve">Company Name:</w:t>
      </w:r>
      <w:r>
        <w:t xml:space="preserve"> </w:t>
      </w:r>
      <w:r>
        <w:t xml:space="preserve">wrxvufvyzx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lznkqytqrv</w:t>
      </w:r>
    </w:p>
    <w:p>
      <w:pPr>
        <w:pStyle w:val="BodyText"/>
      </w:pPr>
      <w:r>
        <w:t xml:space="preserve">Disclaimer: This report is generated based on available data and industry standards. It provides an estimation of the product\'s carbon footprint and should be used for informational and strategic purposes. While every effort has been made to ensure accuracy, detailed primary data would enhance precision.</w:t>
      </w:r>
    </w:p>
    <w:bookmarkEnd w:id="20"/>
    <w:bookmarkStart w:id="41"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"sxzvfmtdul" manufactured by wrxvufvyzx. The analysis, conducted by Senior Sustainability Consultant lznkqytqrv, adheres to the GHG Protocol\'s Product Standard, incorporating the 2026 Land Sector and Removals (LSR) update and ensuring robust Scope 3 compliance. The PCF quantifies the greenhouse gas emissions associated with the product\'s lifecycle, from raw material acquisition to end-of-life, providing critical insights into environmental hotspots and opportunities for decarbonization. The aim is to provide wrxvufvyzx with actionable data to inform sustainability strategies and meet evolving regulatory requirements for granular Scope 3 reporting.</w:t>
      </w:r>
    </w:p>
    <w:p>
      <w:r>
        <w:pict>
          <v:rect style="width:0;height:1.5pt" o:hralign="center" o:hrstd="t" o:hr="t"/>
        </w:pict>
      </w:r>
    </w:p>
    <w:bookmarkEnd w:id="21"/>
    <w:bookmarkStart w:id="27" w:name="methodology"/>
    <w:p>
      <w:pPr>
        <w:pStyle w:val="Heading2"/>
      </w:pPr>
      <w:r>
        <w:t xml:space="preserve">Methodology</w:t>
      </w:r>
    </w:p>
    <w:p>
      <w:pPr>
        <w:pStyle w:val="FirstParagraph"/>
      </w:pPr>
      <w:r>
        <w:t xml:space="preserve">The Product Carbon Footprint (PCF) analysis for sxzvfmtdul followed a structured methodology in line with the GHG Protocol Product Standard:</w:t>
      </w:r>
    </w:p>
    <w:p>
      <w:pPr>
        <w:numPr>
          <w:ilvl w:val="0"/>
          <w:numId w:val="1001"/>
        </w:numPr>
        <w:pStyle w:val="Heading3"/>
      </w:pPr>
      <w:bookmarkStart w:id="22" w:name="define-scope"/>
      <w:r>
        <w:t xml:space="preserve">Define Scope</w:t>
      </w:r>
      <w:bookmarkEnd w:id="22"/>
    </w:p>
    <w:p>
      <w:pPr>
        <w:numPr>
          <w:ilvl w:val="1"/>
          <w:numId w:val="1002"/>
        </w:numPr>
        <w:pStyle w:val="Compact"/>
      </w:pPr>
      <w:r>
        <w:rPr>
          <w:bCs/>
          <w:b/>
        </w:rPr>
        <w:t xml:space="preserve">Functional Unit:</w:t>
      </w:r>
      <w:r>
        <w:t xml:space="preserve"> </w:t>
      </w:r>
      <w:r>
        <w:t xml:space="preserve">1.0 unit of sxzvfmtdul.</w:t>
      </w:r>
    </w:p>
    <w:p>
      <w:pPr>
        <w:numPr>
          <w:ilvl w:val="1"/>
          <w:numId w:val="1002"/>
        </w:numPr>
        <w:pStyle w:val="Compact"/>
      </w:pPr>
      <w:r>
        <w:rPr>
          <w:bCs/>
          <w:b/>
        </w:rPr>
        <w:t xml:space="preserve">System Boundary:</w:t>
      </w:r>
      <w:r>
        <w:t xml:space="preserve"> </w:t>
      </w:r>
      <w:r>
        <w:t xml:space="preserve">Factory Gate, encompassing all processes from raw material extraction, through manufacturing and assembly, up to the point the finished product leaves the production facility. For a holistic view, upstream transportation, downstream transportation, use-phase, and end-of-life are also considered, moving towards a "Cradle-to-Grave" perspective despite the primary system boundary.</w:t>
      </w:r>
    </w:p>
    <w:p>
      <w:pPr>
        <w:numPr>
          <w:ilvl w:val="1"/>
          <w:numId w:val="1002"/>
        </w:numPr>
        <w:pStyle w:val="Compact"/>
      </w:pPr>
      <w:r>
        <w:rPr>
          <w:bCs/>
          <w:b/>
        </w:rPr>
        <w:t xml:space="preserve">Geographic Scope:</w:t>
      </w:r>
      <w:r>
        <w:t xml:space="preserve"> </w:t>
      </w:r>
      <w:r>
        <w:t xml:space="preserve">Final Production Country: China, with a Supply Chain Focus on Europe. This informs the selection of region-specific emission factors where available.</w:t>
      </w:r>
    </w:p>
    <w:p>
      <w:pPr>
        <w:numPr>
          <w:ilvl w:val="1"/>
          <w:numId w:val="1002"/>
        </w:numPr>
        <w:pStyle w:val="Compact"/>
      </w:pPr>
      <w:r>
        <w:rPr>
          <w:bCs/>
          <w:b/>
        </w:rPr>
        <w:t xml:space="preserve">Accounting Standard:</w:t>
      </w:r>
      <w:r>
        <w:t xml:space="preserve"> </w:t>
      </w:r>
      <w:r>
        <w:t xml:space="preserve">GHG Protocol, specifically the Product Life Cycle Accounting and Reporting Standard.</w:t>
      </w:r>
    </w:p>
    <w:p>
      <w:pPr>
        <w:numPr>
          <w:ilvl w:val="1"/>
          <w:numId w:val="1002"/>
        </w:numPr>
        <w:pStyle w:val="Compact"/>
      </w:pPr>
      <w:r>
        <w:rPr>
          <w:bCs/>
          <w:b/>
        </w:rPr>
        <w:t xml:space="preserve">Allocation:</w:t>
      </w:r>
      <w:r>
        <w:t xml:space="preserve"> </w:t>
      </w:r>
      <w:r>
        <w:t xml:space="preserve">Emissions from shared processes (e.g., utility infrastructure) are allocated based on mass or economic value, as appropriate, to the functional unit.</w:t>
      </w:r>
    </w:p>
    <w:p>
      <w:pPr>
        <w:numPr>
          <w:ilvl w:val="0"/>
          <w:numId w:val="1001"/>
        </w:numPr>
        <w:pStyle w:val="Heading3"/>
      </w:pPr>
      <w:bookmarkStart w:id="23" w:name="X5b65be45848e8ebf641a72983b24f262a4ce7a0"/>
      <w:r>
        <w:t xml:space="preserve">Map Lifecycle (Life Cycle Inventory - LCI Stages)</w:t>
      </w:r>
      <w:bookmarkEnd w:id="23"/>
    </w:p>
    <w:p>
      <w:pPr>
        <w:numPr>
          <w:ilvl w:val="0"/>
          <w:numId w:val="1000"/>
        </w:numPr>
      </w:pPr>
      <w:r>
        <w:t xml:space="preserve">The lifecycle of sxzvfmtdul was mapped to identify all relevant stages contributing to its carbon footprint:</w:t>
      </w:r>
    </w:p>
    <w:p>
      <w:pPr>
        <w:numPr>
          <w:ilvl w:val="1"/>
          <w:numId w:val="1003"/>
        </w:numPr>
        <w:pStyle w:val="Compact"/>
      </w:pPr>
      <w:r>
        <w:rPr>
          <w:bCs/>
          <w:b/>
        </w:rPr>
        <w:t xml:space="preserve">Materials Acquisition &amp; Pre-processing:</w:t>
      </w:r>
      <w:r>
        <w:t xml:space="preserve"> </w:t>
      </w:r>
      <w:r>
        <w:t xml:space="preserve">Extraction, processing, and manufacturing of all raw materials and components as detailed in the Bill of Materials (BOM).</w:t>
      </w:r>
    </w:p>
    <w:p>
      <w:pPr>
        <w:numPr>
          <w:ilvl w:val="1"/>
          <w:numId w:val="1003"/>
        </w:numPr>
        <w:pStyle w:val="Compact"/>
      </w:pPr>
      <w:r>
        <w:rPr>
          <w:bCs/>
          <w:b/>
        </w:rPr>
        <w:t xml:space="preserve">Production:</w:t>
      </w:r>
      <w:r>
        <w:t xml:space="preserve"> </w:t>
      </w:r>
      <w:r>
        <w:t xml:space="preserve">Energy consumption, waste generation, and processes at the manufacturing facility in China, including assembly and packaging.</w:t>
      </w:r>
    </w:p>
    <w:p>
      <w:pPr>
        <w:numPr>
          <w:ilvl w:val="1"/>
          <w:numId w:val="1003"/>
        </w:numPr>
        <w:pStyle w:val="Compact"/>
      </w:pPr>
      <w:r>
        <w:rPr>
          <w:bCs/>
          <w:b/>
        </w:rPr>
        <w:t xml:space="preserve">Transport (Upstream &amp; Downstream):</w:t>
      </w:r>
    </w:p>
    <w:p>
      <w:pPr>
        <w:numPr>
          <w:ilvl w:val="2"/>
          <w:numId w:val="1004"/>
        </w:numPr>
        <w:pStyle w:val="Compact"/>
      </w:pPr>
      <w:r>
        <w:t xml:space="preserve">Upstream: Transportation of raw materials and components from suppliers to the manufacturing facility.</w:t>
      </w:r>
    </w:p>
    <w:p>
      <w:pPr>
        <w:numPr>
          <w:ilvl w:val="2"/>
          <w:numId w:val="1004"/>
        </w:numPr>
        <w:pStyle w:val="Compact"/>
      </w:pPr>
      <w:r>
        <w:t xml:space="preserve">Downstream: Transportation of the finished product from the factory gate to the customer, including last-mile delivery.</w:t>
      </w:r>
    </w:p>
    <w:p>
      <w:pPr>
        <w:numPr>
          <w:ilvl w:val="1"/>
          <w:numId w:val="1003"/>
        </w:numPr>
        <w:pStyle w:val="Compact"/>
      </w:pPr>
      <w:r>
        <w:rPr>
          <w:bCs/>
          <w:b/>
        </w:rPr>
        <w:t xml:space="preserve">Use Phase:</w:t>
      </w:r>
      <w:r>
        <w:t xml:space="preserve"> </w:t>
      </w:r>
      <w:r>
        <w:t xml:space="preserve">Energy consumption during the product\'s lifespan.</w:t>
      </w:r>
    </w:p>
    <w:p>
      <w:pPr>
        <w:numPr>
          <w:ilvl w:val="1"/>
          <w:numId w:val="1003"/>
        </w:numPr>
        <w:pStyle w:val="Compact"/>
      </w:pPr>
      <w:r>
        <w:rPr>
          <w:bCs/>
          <w:b/>
        </w:rPr>
        <w:t xml:space="preserve">End-of-Life (EoL):</w:t>
      </w:r>
      <w:r>
        <w:t xml:space="preserve"> </w:t>
      </w:r>
      <w:r>
        <w:t xml:space="preserve">Disposal, recycling, or recovery processes at the end of the product\'s useful life.</w:t>
      </w:r>
    </w:p>
    <w:p>
      <w:pPr>
        <w:numPr>
          <w:ilvl w:val="0"/>
          <w:numId w:val="1001"/>
        </w:numPr>
        <w:pStyle w:val="Heading3"/>
      </w:pPr>
      <w:bookmarkStart w:id="24" w:name="collect-data"/>
      <w:r>
        <w:t xml:space="preserve">Collect Data</w:t>
      </w:r>
      <w:bookmarkEnd w:id="24"/>
    </w:p>
    <w:p>
      <w:pPr>
        <w:numPr>
          <w:ilvl w:val="0"/>
          <w:numId w:val="1000"/>
        </w:numPr>
      </w:pPr>
      <w:r>
        <w:t xml:space="preserve">Both primary and secondary data points were collected. For this analysis, specific parameters were provided:</w:t>
      </w:r>
    </w:p>
    <w:p>
      <w:pPr>
        <w:numPr>
          <w:ilvl w:val="1"/>
          <w:numId w:val="1005"/>
        </w:numPr>
        <w:pStyle w:val="Compact"/>
      </w:pPr>
      <w:r>
        <w:rPr>
          <w:bCs/>
          <w:b/>
        </w:rPr>
        <w:t xml:space="preserve">Detailed Bill of Materials (BOM):</w:t>
      </w:r>
      <w:r>
        <w:t xml:space="preserve"> </w:t>
      </w:r>
      <w:r>
        <w:t xml:space="preserve">The provided data (`woizrgdl`) was used for high-accuracy material impact calculation.</w:t>
      </w:r>
    </w:p>
    <w:p>
      <w:pPr>
        <w:numPr>
          <w:ilvl w:val="1"/>
          <w:numId w:val="1005"/>
        </w:numPr>
        <w:pStyle w:val="Compact"/>
      </w:pPr>
      <w:r>
        <w:rPr>
          <w:bCs/>
          <w:b/>
        </w:rPr>
        <w:t xml:space="preserve">Transport Data:</w:t>
      </w:r>
      <w:r>
        <w:t xml:space="preserve"> </w:t>
      </w:r>
      <w:r>
        <w:t xml:space="preserve">Specific details for Transport Mode (`Select Mode`), Transport Distance (`owspyoqkye`), and Last-Mile Delivery Channel (`Delivery Type`) were incorporated.</w:t>
      </w:r>
    </w:p>
    <w:p>
      <w:pPr>
        <w:numPr>
          <w:ilvl w:val="1"/>
          <w:numId w:val="1005"/>
        </w:numPr>
        <w:pStyle w:val="Compact"/>
      </w:pPr>
      <w:r>
        <w:rPr>
          <w:bCs/>
          <w:b/>
        </w:rPr>
        <w:t xml:space="preserve">Energy Customization:</w:t>
      </w:r>
      <w:r>
        <w:t xml:space="preserve"> </w:t>
      </w:r>
      <w:r>
        <w:t xml:space="preserve">Renewable Energy Usage (`yjkpgxrmjs`) and Energy Intensity (`mytqeqyozh`) were applied to the production phase.</w:t>
      </w:r>
    </w:p>
    <w:p>
      <w:pPr>
        <w:numPr>
          <w:ilvl w:val="1"/>
          <w:numId w:val="1005"/>
        </w:numPr>
        <w:pStyle w:val="Compact"/>
      </w:pPr>
      <w:r>
        <w:rPr>
          <w:bCs/>
          <w:b/>
        </w:rPr>
        <w:t xml:space="preserve">Use Phase Data:</w:t>
      </w:r>
      <w:r>
        <w:t xml:space="preserve"> </w:t>
      </w:r>
      <w:r>
        <w:t xml:space="preserve">Product Lifespan (`iljstmigpm`) and Energy Consumption in Use (`oplpossfgm`) were used for this stage.</w:t>
      </w:r>
    </w:p>
    <w:p>
      <w:pPr>
        <w:numPr>
          <w:ilvl w:val="1"/>
          <w:numId w:val="1005"/>
        </w:numPr>
        <w:pStyle w:val="Compact"/>
      </w:pPr>
      <w:r>
        <w:rPr>
          <w:bCs/>
          <w:b/>
        </w:rPr>
        <w:t xml:space="preserve">End-of-Life Scenarios:</w:t>
      </w:r>
      <w:r>
        <w:t xml:space="preserve"> </w:t>
      </w:r>
      <w:r>
        <w:t xml:space="preserve">Recyclability Percentage (`zfyrvxddsq`) and information on Circular/Take-back Programs (`kjrydvzeem`) were integrated.</w:t>
      </w:r>
    </w:p>
    <w:p>
      <w:pPr>
        <w:numPr>
          <w:ilvl w:val="1"/>
          <w:numId w:val="1005"/>
        </w:numPr>
        <w:pStyle w:val="Compact"/>
      </w:pPr>
      <w:r>
        <w:rPr>
          <w:bCs/>
          <w:b/>
        </w:rPr>
        <w:t xml:space="preserve">Emission Factors:</w:t>
      </w:r>
      <w:r>
        <w:t xml:space="preserve"> </w:t>
      </w:r>
      <w:r>
        <w:t xml:space="preserve">Industry-standard emission factors from reputable databases (e.g., Ecoinvent, DEFRA, GHG Protocol\'s own databases) were utilized for processes where specific factors were not provided, ensuring consistency with the GHG Protocol.</w:t>
      </w:r>
    </w:p>
    <w:p>
      <w:pPr>
        <w:numPr>
          <w:ilvl w:val="0"/>
          <w:numId w:val="1001"/>
        </w:numPr>
        <w:pStyle w:val="Heading3"/>
      </w:pPr>
      <w:bookmarkStart w:id="25" w:name="calculate-emissions"/>
      <w:r>
        <w:t xml:space="preserve">Calculate Emissions</w:t>
      </w:r>
      <w:bookmarkEnd w:id="25"/>
    </w:p>
    <w:p>
      <w:pPr>
        <w:numPr>
          <w:ilvl w:val="0"/>
          <w:numId w:val="1000"/>
        </w:numPr>
      </w:pPr>
      <w:r>
        <w:t xml:space="preserve">Emissions were calculated by multiplying activity data by relevant emission factors (Activity * Emission Factor = CO2e). Emissions were categorized according to the GHG Protocol Scopes:</w:t>
      </w:r>
    </w:p>
    <w:p>
      <w:pPr>
        <w:numPr>
          <w:ilvl w:val="1"/>
          <w:numId w:val="1006"/>
        </w:numPr>
        <w:pStyle w:val="Compact"/>
      </w:pPr>
      <w:r>
        <w:rPr>
          <w:bCs/>
          <w:b/>
        </w:rPr>
        <w:t xml:space="preserve">Scope 1 (Direct Emissions):</w:t>
      </w:r>
      <w:r>
        <w:t xml:space="preserve"> </w:t>
      </w:r>
      <w:r>
        <w:t xml:space="preserve">Emissions from sources owned or controlled by wrxvufvyzx within the product\'s lifecycle (e.g., direct fuel combustion at the factory). For a "factory_gate" boundary, this would primarily include manufacturing emissions not related to purchased energy.</w:t>
      </w:r>
    </w:p>
    <w:p>
      <w:pPr>
        <w:numPr>
          <w:ilvl w:val="1"/>
          <w:numId w:val="1006"/>
        </w:numPr>
        <w:pStyle w:val="Compact"/>
      </w:pPr>
      <w:r>
        <w:rPr>
          <w:bCs/>
          <w:b/>
        </w:rPr>
        <w:t xml:space="preserve">Scope 2 (Purchased Energy Emissions):</w:t>
      </w:r>
      <w:r>
        <w:t xml:space="preserve"> </w:t>
      </w:r>
      <w:r>
        <w:t xml:space="preserve">Indirect emissions from the generation of purchased electricity, heat, or steam consumed by wrxvufvyzx\'s manufacturing operations.</w:t>
      </w:r>
    </w:p>
    <w:p>
      <w:pPr>
        <w:numPr>
          <w:ilvl w:val="1"/>
          <w:numId w:val="1006"/>
        </w:numPr>
        <w:pStyle w:val="Compact"/>
      </w:pPr>
      <w:r>
        <w:rPr>
          <w:bCs/>
          <w:b/>
        </w:rPr>
        <w:t xml:space="preserve">Scope 3 (Value Chain Emissions):</w:t>
      </w:r>
      <w:r>
        <w:t xml:space="preserve"> </w:t>
      </w:r>
      <w:r>
        <w:t xml:space="preserve">All other indirect emissions occurring in the value chain, both upstream and downstream. This includes emissions from raw material extraction, supplier manufacturing, transportation, product use, and end-of-life. The GHG Protocol emphasizes the importance of Scope 3 for product-level assessments.</w:t>
      </w:r>
    </w:p>
    <w:p>
      <w:pPr>
        <w:numPr>
          <w:ilvl w:val="0"/>
          <w:numId w:val="1001"/>
        </w:numPr>
        <w:pStyle w:val="Heading3"/>
      </w:pPr>
      <w:bookmarkStart w:id="26" w:name="review-report"/>
      <w:r>
        <w:t xml:space="preserve">Review &amp; Report</w:t>
      </w:r>
      <w:bookmarkEnd w:id="26"/>
    </w:p>
    <w:p>
      <w:pPr>
        <w:numPr>
          <w:ilvl w:val="0"/>
          <w:numId w:val="1000"/>
        </w:numPr>
      </w:pPr>
      <w:r>
        <w:t xml:space="preserve">The final step involved reviewing the calculations for accuracy and completeness, identifying key emission hotspots, and assessing the reliability of the data. The report also highlights areas for potential emission reduction.</w:t>
      </w:r>
    </w:p>
    <w:p>
      <w:r>
        <w:pict>
          <v:rect style="width:0;height:1.5pt" o:hralign="center" o:hrstd="t" o:hr="t"/>
        </w:pict>
      </w:r>
    </w:p>
    <w:bookmarkEnd w:id="27"/>
    <w:bookmarkStart w:id="28" w:name="ghg-protocol-adherence-2026-lsr-update"/>
    <w:p>
      <w:pPr>
        <w:pStyle w:val="Heading2"/>
      </w:pPr>
      <w:r>
        <w:t xml:space="preserve">GHG Protocol Adherence &amp; 2026 LSR Update</w:t>
      </w:r>
    </w:p>
    <w:p>
      <w:pPr>
        <w:pStyle w:val="FirstParagraph"/>
      </w:pPr>
      <w:r>
        <w:t xml:space="preserve">This analysis strictly adheres to the GHG Protocol Product Standard. Emissions are rigorously categorized into Scope 1, Scope 2, and Scope 3 to provide a comprehensive view of direct and indirect impacts.</w:t>
      </w:r>
    </w:p>
    <w:p>
      <w:pPr>
        <w:pStyle w:val="BodyText"/>
      </w:pPr>
      <w:r>
        <w:t xml:space="preserve">**2026 LSR Update:** The Land Sector and Removals (LSR) Standard has been applied, accounting for potential land use change emissions and carbon removals relevant to the product\'s lifecycle. While specific land-use data was not provided for every component, the methodology ensures that any available data on biogenic carbon or land-use impacts would be incorporated according to the latest 2026 requirements.</w:t>
      </w:r>
    </w:p>
    <w:p>
      <w:pPr>
        <w:pStyle w:val="BodyText"/>
      </w:pPr>
      <w:r>
        <w:t xml:space="preserve">**Scope 3 Compliance:** In alignment with 2026 requirements mandating enhanced granularity and coverage, this report aims for at least 95% coverage for Scope 3 reporting. The detailed Bill of Materials, transport logistics, and use/end-of-life data are critical in achieving this extensive coverage, moving beyond generic industry averages towards activity-based emission factors.</w:t>
      </w:r>
    </w:p>
    <w:p>
      <w:r>
        <w:pict>
          <v:rect style="width:0;height:1.5pt" o:hralign="center" o:hrstd="t" o:hr="t"/>
        </w:pict>
      </w:r>
    </w:p>
    <w:bookmarkEnd w:id="28"/>
    <w:bookmarkStart w:id="39" w:name="X2e1caec38ba3c589d0ef5b5dc3746c7efc62ef1"/>
    <w:p>
      <w:pPr>
        <w:pStyle w:val="Heading2"/>
      </w:pPr>
      <w:r>
        <w:t xml:space="preserve">Detailed Product Carbon Footprint (PCF) Analysis for sxzvfmtdul</w:t>
      </w:r>
    </w:p>
    <w:bookmarkStart w:id="29" w:name="scope-definition-summary"/>
    <w:p>
      <w:pPr>
        <w:pStyle w:val="Heading3"/>
      </w:pPr>
      <w:r>
        <w:t xml:space="preserve">1. Scope Definition Summary</w:t>
      </w:r>
    </w:p>
    <w:p>
      <w:pPr>
        <w:numPr>
          <w:ilvl w:val="0"/>
          <w:numId w:val="1007"/>
        </w:numPr>
        <w:pStyle w:val="Compact"/>
      </w:pPr>
      <w:r>
        <w:rPr>
          <w:bCs/>
          <w:b/>
        </w:rPr>
        <w:t xml:space="preserve">Functional Unit:</w:t>
      </w:r>
      <w:r>
        <w:t xml:space="preserve"> </w:t>
      </w:r>
      <w:r>
        <w:t xml:space="preserve">1.0 unit of sxzvfmtdul</w:t>
      </w:r>
    </w:p>
    <w:p>
      <w:pPr>
        <w:numPr>
          <w:ilvl w:val="0"/>
          <w:numId w:val="1007"/>
        </w:numPr>
        <w:pStyle w:val="Compact"/>
      </w:pPr>
      <w:r>
        <w:rPr>
          <w:bCs/>
          <w:b/>
        </w:rPr>
        <w:t xml:space="preserve">System Boundary:</w:t>
      </w:r>
      <w:r>
        <w:t xml:space="preserve"> </w:t>
      </w:r>
      <w:r>
        <w:t xml:space="preserve">Factory Gate (with extended Cradle-to-Grave consideration)</w:t>
      </w:r>
    </w:p>
    <w:p>
      <w:pPr>
        <w:numPr>
          <w:ilvl w:val="0"/>
          <w:numId w:val="1007"/>
        </w:numPr>
        <w:pStyle w:val="Compact"/>
      </w:pPr>
      <w:r>
        <w:rPr>
          <w:bCs/>
          <w:b/>
        </w:rPr>
        <w:t xml:space="preserve">Geographic Scope:</w:t>
      </w:r>
      <w:r>
        <w:t xml:space="preserve"> </w:t>
      </w:r>
      <w:r>
        <w:t xml:space="preserve">Final Production Country: China, Supply Chain Focus: Europe Focused</w:t>
      </w:r>
    </w:p>
    <w:p>
      <w:pPr>
        <w:numPr>
          <w:ilvl w:val="0"/>
          <w:numId w:val="1007"/>
        </w:numPr>
        <w:pStyle w:val="Compact"/>
      </w:pPr>
      <w:r>
        <w:rPr>
          <w:bCs/>
          <w:b/>
        </w:rPr>
        <w:t xml:space="preserve">Accounting Standard:</w:t>
      </w:r>
      <w:r>
        <w:t xml:space="preserve"> </w:t>
      </w:r>
      <w:r>
        <w:t xml:space="preserve">GHG Protocol</w:t>
      </w:r>
    </w:p>
    <w:bookmarkEnd w:id="29"/>
    <w:bookmarkStart w:id="35" w:name="X3cac61c023819542f411395af7bf915e4cc25f0"/>
    <w:p>
      <w:pPr>
        <w:pStyle w:val="Heading3"/>
      </w:pPr>
      <w:r>
        <w:t xml:space="preserve">2. Lifecycle Mapping &amp; LCI Inventory Stages (Data Breakdown)</w:t>
      </w:r>
    </w:p>
    <w:bookmarkStart w:id="30" w:name="Xa124a95b981c370289279a4b723120ad8e79cc2"/>
    <w:p>
      <w:pPr>
        <w:pStyle w:val="Heading4"/>
      </w:pPr>
      <w:r>
        <w:t xml:space="preserve">Materials Acquisition &amp; Pre-processing (Scope 3 - Upstream)</w:t>
      </w:r>
    </w:p>
    <w:p>
      <w:pPr>
        <w:pStyle w:val="FirstParagraph"/>
      </w:pPr>
      <w:r>
        <w:t xml:space="preserve">The following detailed Bill of Materials (BOM) provides the basis for material impact calculation. The \'Total Carbon\' for each item is directly used as per instruction.</w:t>
      </w:r>
    </w:p>
    <w:p>
      <w:pPr>
        <w:pStyle w:val="BodyText"/>
      </w:pPr>
      <w:r>
        <w:rPr>
          <w:bCs/>
          <w:b/>
        </w:rPr>
        <w:t xml:space="preserve">Detailed Bill of Materials (BOM) - `woizrgdl` Input Data:</w:t>
      </w:r>
      <w:r>
        <w:t xml:space="preserve"> </w:t>
      </w:r>
      <w:r>
        <w:t xml:space="preserve">"1,Aluminum Casing,Metal,Casting,0.5,kg,5.0,2.5;2,Plastic Enclosure,Plastic,Injection Molding,0.3,kg,3.0,0.9;3,Circuit Board,Electronics,Assembly,0.1,unit,10.0,1.0"</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bl>
    <w:p>
      <w:pPr>
        <w:pStyle w:val="BodyText"/>
      </w:pPr>
      <w:r>
        <w:rPr>
          <w:bCs/>
          <w:b/>
        </w:rPr>
        <w:t xml:space="preserve">Total Material Carbon Impact (from BOM):</w:t>
      </w:r>
      <w:r>
        <w:t xml:space="preserve"> </w:t>
      </w:r>
      <w:r>
        <w:t xml:space="preserve">4.4 kgCO2e (2.5 + 0.9 + 1.0)</w:t>
      </w:r>
    </w:p>
    <w:bookmarkEnd w:id="30"/>
    <w:bookmarkStart w:id="31" w:name="production-phase-scope-1-2"/>
    <w:p>
      <w:pPr>
        <w:pStyle w:val="Heading4"/>
      </w:pPr>
      <w:r>
        <w:t xml:space="preserve">Production Phase (Scope 1 &amp; 2)</w:t>
      </w:r>
    </w:p>
    <w:p>
      <w:pPr>
        <w:pStyle w:val="FirstParagraph"/>
      </w:pPr>
      <w:r>
        <w:t xml:space="preserve">The production phase covers the manufacturing and assembly of sxzvfmtdul in China.</w:t>
      </w:r>
    </w:p>
    <w:p>
      <w:pPr>
        <w:numPr>
          <w:ilvl w:val="0"/>
          <w:numId w:val="1008"/>
        </w:numPr>
        <w:pStyle w:val="Compact"/>
      </w:pPr>
      <w:r>
        <w:rPr>
          <w:bCs/>
          <w:b/>
        </w:rPr>
        <w:t xml:space="preserve">Energy Intensity (kWh/unit):</w:t>
      </w:r>
      <w:r>
        <w:t xml:space="preserve"> </w:t>
      </w:r>
      <w:r>
        <w:t xml:space="preserve">`mytqeqyozh` (Illustrative: 2.5 kWh/unit)</w:t>
      </w:r>
    </w:p>
    <w:p>
      <w:pPr>
        <w:numPr>
          <w:ilvl w:val="0"/>
          <w:numId w:val="1008"/>
        </w:numPr>
        <w:pStyle w:val="Compact"/>
      </w:pPr>
      <w:r>
        <w:rPr>
          <w:bCs/>
          <w:b/>
        </w:rPr>
        <w:t xml:space="preserve">Renewable Energy Usage:</w:t>
      </w:r>
      <w:r>
        <w:t xml:space="preserve"> </w:t>
      </w:r>
      <w:r>
        <w:t xml:space="preserve">`yjkpgxrmjs` (Illustrative: 60%)</w:t>
      </w:r>
    </w:p>
    <w:p>
      <w:pPr>
        <w:numPr>
          <w:ilvl w:val="0"/>
          <w:numId w:val="1008"/>
        </w:numPr>
        <w:pStyle w:val="Compact"/>
      </w:pPr>
      <w:r>
        <w:rPr>
          <w:bCs/>
          <w:b/>
        </w:rPr>
        <w:t xml:space="preserve">Grid Electricity Emission Factor (China):</w:t>
      </w:r>
      <w:r>
        <w:t xml:space="preserve"> </w:t>
      </w:r>
      <w:r>
        <w:t xml:space="preserve">Illustrative 0.6 kgCO2e/kWh (after factoring in typical grid mix). Actual factor would be obtained from regional data (e.g., IEA, national grid reports).</w:t>
      </w:r>
    </w:p>
    <w:bookmarkEnd w:id="31"/>
    <w:bookmarkStart w:id="32" w:name="Xe08515ad84b4b4f8f5f57cfcf366486c343ebb4"/>
    <w:p>
      <w:pPr>
        <w:pStyle w:val="Heading4"/>
      </w:pPr>
      <w:r>
        <w:t xml:space="preserve">Transport Phase (Scope 3 - Upstream &amp; Downstream)</w:t>
      </w:r>
    </w:p>
    <w:p>
      <w:pPr>
        <w:pStyle w:val="FirstParagraph"/>
      </w:pPr>
      <w:r>
        <w:t xml:space="preserve">Logistics data for both upstream (components to factory) and downstream (factory to customer, including last-mile) are critical for Scope 3 accuracy.</w:t>
      </w:r>
    </w:p>
    <w:p>
      <w:pPr>
        <w:numPr>
          <w:ilvl w:val="0"/>
          <w:numId w:val="1009"/>
        </w:numPr>
        <w:pStyle w:val="Compact"/>
      </w:pPr>
      <w:r>
        <w:rPr>
          <w:bCs/>
          <w:b/>
        </w:rPr>
        <w:t xml:space="preserve">Upstream Transport Mode:</w:t>
      </w:r>
      <w:r>
        <w:t xml:space="preserve"> </w:t>
      </w:r>
      <w:r>
        <w:t xml:space="preserve">Acknowledging `Select Mode` (Illustrative: Ocean Freight)</w:t>
      </w:r>
    </w:p>
    <w:p>
      <w:pPr>
        <w:numPr>
          <w:ilvl w:val="0"/>
          <w:numId w:val="1009"/>
        </w:numPr>
        <w:pStyle w:val="Compact"/>
      </w:pPr>
      <w:r>
        <w:rPr>
          <w:bCs/>
          <w:b/>
        </w:rPr>
        <w:t xml:space="preserve">Upstream Transport Distance:</w:t>
      </w:r>
      <w:r>
        <w:t xml:space="preserve"> </w:t>
      </w:r>
      <w:r>
        <w:t xml:space="preserve">Acknowledging `owspyoqkye` (Illustrative: 5000 km)</w:t>
      </w:r>
    </w:p>
    <w:p>
      <w:pPr>
        <w:numPr>
          <w:ilvl w:val="0"/>
          <w:numId w:val="1009"/>
        </w:numPr>
        <w:pStyle w:val="Compact"/>
      </w:pPr>
      <w:r>
        <w:rPr>
          <w:bCs/>
          <w:b/>
        </w:rPr>
        <w:t xml:space="preserve">Last-Mile Delivery Channel:</w:t>
      </w:r>
      <w:r>
        <w:t xml:space="preserve"> </w:t>
      </w:r>
      <w:r>
        <w:t xml:space="preserve">Acknowledging `Delivery Type` (Illustrative: Road Freight - Light Duty Vehicle)</w:t>
      </w:r>
    </w:p>
    <w:p>
      <w:pPr>
        <w:numPr>
          <w:ilvl w:val="0"/>
          <w:numId w:val="1009"/>
        </w:numPr>
        <w:pStyle w:val="Compact"/>
      </w:pPr>
      <w:r>
        <w:rPr>
          <w:bCs/>
          <w:b/>
        </w:rPr>
        <w:t xml:space="preserve">Illustrative Emission Factors (kgCO2e/tkm):</w:t>
      </w:r>
    </w:p>
    <w:p>
      <w:pPr>
        <w:numPr>
          <w:ilvl w:val="1"/>
          <w:numId w:val="1010"/>
        </w:numPr>
        <w:pStyle w:val="Compact"/>
      </w:pPr>
      <w:r>
        <w:t xml:space="preserve">Ocean Freight: 0.01 kgCO2e/tkm</w:t>
      </w:r>
    </w:p>
    <w:p>
      <w:pPr>
        <w:numPr>
          <w:ilvl w:val="1"/>
          <w:numId w:val="1010"/>
        </w:numPr>
        <w:pStyle w:val="Compact"/>
      </w:pPr>
      <w:r>
        <w:t xml:space="preserve">Road Freight (Light Duty Vehicle): 0.2 kgCO2e/tkm</w:t>
      </w:r>
    </w:p>
    <w:bookmarkEnd w:id="32"/>
    <w:bookmarkStart w:id="33" w:name="use-phase-scope-3---downstream"/>
    <w:p>
      <w:pPr>
        <w:pStyle w:val="Heading4"/>
      </w:pPr>
      <w:r>
        <w:t xml:space="preserve">Use Phase (Scope 3 - Downstream)</w:t>
      </w:r>
    </w:p>
    <w:p>
      <w:pPr>
        <w:pStyle w:val="FirstParagraph"/>
      </w:pPr>
      <w:r>
        <w:t xml:space="preserve">The emissions during the product\'s operational lifetime are a significant Scope 3 contributor.</w:t>
      </w:r>
    </w:p>
    <w:p>
      <w:pPr>
        <w:numPr>
          <w:ilvl w:val="0"/>
          <w:numId w:val="1011"/>
        </w:numPr>
        <w:pStyle w:val="Compact"/>
      </w:pPr>
      <w:r>
        <w:rPr>
          <w:bCs/>
          <w:b/>
        </w:rPr>
        <w:t xml:space="preserve">Product Lifespan:</w:t>
      </w:r>
      <w:r>
        <w:t xml:space="preserve"> </w:t>
      </w:r>
      <w:r>
        <w:t xml:space="preserve">`iljstmigpm` (Illustrative: 5 years)</w:t>
      </w:r>
    </w:p>
    <w:p>
      <w:pPr>
        <w:numPr>
          <w:ilvl w:val="0"/>
          <w:numId w:val="1011"/>
        </w:numPr>
        <w:pStyle w:val="Compact"/>
      </w:pPr>
      <w:r>
        <w:rPr>
          <w:bCs/>
          <w:b/>
        </w:rPr>
        <w:t xml:space="preserve">Energy Consumption in Use (per year):</w:t>
      </w:r>
      <w:r>
        <w:t xml:space="preserve"> </w:t>
      </w:r>
      <w:r>
        <w:t xml:space="preserve">`oplpossfgm` (Illustrative: 10 kWh/year)</w:t>
      </w:r>
    </w:p>
    <w:p>
      <w:pPr>
        <w:numPr>
          <w:ilvl w:val="0"/>
          <w:numId w:val="1011"/>
        </w:numPr>
        <w:pStyle w:val="Compact"/>
      </w:pPr>
      <w:r>
        <w:rPr>
          <w:bCs/>
          <w:b/>
        </w:rPr>
        <w:t xml:space="preserve">User Electricity Grid Emission Factor:</w:t>
      </w:r>
      <w:r>
        <w:t xml:space="preserve"> </w:t>
      </w:r>
      <w:r>
        <w:t xml:space="preserve">Illustrative 0.3 kgCO2e/kWh (assuming an average European grid mix).</w:t>
      </w:r>
    </w:p>
    <w:bookmarkEnd w:id="33"/>
    <w:bookmarkStart w:id="34" w:name="X92fbc61eed99b9d9aafbebcbbd2c7ad7660f7e4"/>
    <w:p>
      <w:pPr>
        <w:pStyle w:val="Heading4"/>
      </w:pPr>
      <w:r>
        <w:t xml:space="preserve">End-of-Life (EoL) Phase (Scope 3 - Downstream)</w:t>
      </w:r>
    </w:p>
    <w:p>
      <w:pPr>
        <w:pStyle w:val="FirstParagraph"/>
      </w:pPr>
      <w:r>
        <w:t xml:space="preserve">EoL scenarios influence the final footprint, with recycling offering potential avoided emissions.</w:t>
      </w:r>
    </w:p>
    <w:p>
      <w:pPr>
        <w:numPr>
          <w:ilvl w:val="0"/>
          <w:numId w:val="1012"/>
        </w:numPr>
        <w:pStyle w:val="Compact"/>
      </w:pPr>
      <w:r>
        <w:rPr>
          <w:bCs/>
          <w:b/>
        </w:rPr>
        <w:t xml:space="preserve">Recyclability Percentage:</w:t>
      </w:r>
      <w:r>
        <w:t xml:space="preserve"> </w:t>
      </w:r>
      <w:r>
        <w:t xml:space="preserve">`zfyrvxddsq` (Illustrative: 80%)</w:t>
      </w:r>
    </w:p>
    <w:p>
      <w:pPr>
        <w:numPr>
          <w:ilvl w:val="0"/>
          <w:numId w:val="1012"/>
        </w:numPr>
        <w:pStyle w:val="Compact"/>
      </w:pPr>
      <w:r>
        <w:rPr>
          <w:bCs/>
          <w:b/>
        </w:rPr>
        <w:t xml:space="preserve">Circular/Take-back Programs:</w:t>
      </w:r>
      <w:r>
        <w:t xml:space="preserve"> </w:t>
      </w:r>
      <w:r>
        <w:t xml:space="preserve">`kjrydvzeem` (Illustrative: Robust take-back program in EU, allowing for high material recovery.)</w:t>
      </w:r>
    </w:p>
    <w:p>
      <w:pPr>
        <w:numPr>
          <w:ilvl w:val="0"/>
          <w:numId w:val="1012"/>
        </w:numPr>
        <w:pStyle w:val="Compact"/>
      </w:pPr>
      <w:r>
        <w:rPr>
          <w:bCs/>
          <w:b/>
        </w:rPr>
        <w:t xml:space="preserve">Illustrative Avoided Emissions for Recycling (e.g., Aluminum):</w:t>
      </w:r>
      <w:r>
        <w:t xml:space="preserve"> </w:t>
      </w:r>
      <w:r>
        <w:t xml:space="preserve">-1.5 kgCO2e/kg (varies by material).</w:t>
      </w:r>
    </w:p>
    <w:bookmarkEnd w:id="34"/>
    <w:bookmarkEnd w:id="35"/>
    <w:bookmarkStart w:id="36" w:name="Xf0c6e5f27fcb81efd6d335d836f422e692bcdcb"/>
    <w:p>
      <w:pPr>
        <w:pStyle w:val="Heading3"/>
      </w:pPr>
      <w:r>
        <w:t xml:space="preserve">3. Data Collection Summary (Illustrative Calculations Based on Placeholders)</w:t>
      </w:r>
    </w:p>
    <w:p>
      <w:pPr>
        <w:pStyle w:val="FirstParagraph"/>
      </w:pPr>
      <w:r>
        <w:t xml:space="preserve">Based on the detailed inputs and illustrative values for placeholders, the following data points would be utilized:</w:t>
      </w:r>
    </w:p>
    <w:p>
      <w:pPr>
        <w:numPr>
          <w:ilvl w:val="0"/>
          <w:numId w:val="1013"/>
        </w:numPr>
        <w:pStyle w:val="Compact"/>
      </w:pPr>
      <w:r>
        <w:rPr>
          <w:bCs/>
          <w:b/>
        </w:rPr>
        <w:t xml:space="preserve">Material Carbon Impact:</w:t>
      </w:r>
      <w:r>
        <w:t xml:space="preserve"> </w:t>
      </w:r>
      <w:r>
        <w:t xml:space="preserve">4.4 kgCO2e (directly from BOM)</w:t>
      </w:r>
    </w:p>
    <w:p>
      <w:pPr>
        <w:numPr>
          <w:ilvl w:val="0"/>
          <w:numId w:val="1013"/>
        </w:numPr>
        <w:pStyle w:val="Compact"/>
      </w:pPr>
      <w:r>
        <w:rPr>
          <w:bCs/>
          <w:b/>
        </w:rPr>
        <w:t xml:space="preserve">Production Energy (Illustrative):</w:t>
      </w:r>
    </w:p>
    <w:p>
      <w:pPr>
        <w:numPr>
          <w:ilvl w:val="1"/>
          <w:numId w:val="1014"/>
        </w:numPr>
        <w:pStyle w:val="Compact"/>
      </w:pPr>
      <w:r>
        <w:t xml:space="preserve">Total Energy: 2.5 kWh/unit</w:t>
      </w:r>
    </w:p>
    <w:p>
      <w:pPr>
        <w:numPr>
          <w:ilvl w:val="1"/>
          <w:numId w:val="1014"/>
        </w:numPr>
        <w:pStyle w:val="Compact"/>
      </w:pPr>
      <w:r>
        <w:t xml:space="preserve">Renewable Energy: 60% of 2.5 kWh = 1.5 kWh (zero emissions)</w:t>
      </w:r>
    </w:p>
    <w:p>
      <w:pPr>
        <w:numPr>
          <w:ilvl w:val="1"/>
          <w:numId w:val="1014"/>
        </w:numPr>
        <w:pStyle w:val="Compact"/>
      </w:pPr>
      <w:r>
        <w:t xml:space="preserve">Grid Energy: 40% of 2.5 kWh = 1.0 kWh (emissions calculated with grid factor)</w:t>
      </w:r>
    </w:p>
    <w:p>
      <w:pPr>
        <w:numPr>
          <w:ilvl w:val="0"/>
          <w:numId w:val="1013"/>
        </w:numPr>
        <w:pStyle w:val="Compact"/>
      </w:pPr>
      <w:r>
        <w:rPr>
          <w:bCs/>
          <w:b/>
        </w:rPr>
        <w:t xml:space="preserve">Transport (Illustrative):</w:t>
      </w:r>
    </w:p>
    <w:p>
      <w:pPr>
        <w:numPr>
          <w:ilvl w:val="1"/>
          <w:numId w:val="1015"/>
        </w:numPr>
        <w:pStyle w:val="Compact"/>
      </w:pPr>
      <w:r>
        <w:t xml:space="preserve">Upstream: (Product weight * Upstream distance * Ocean Freight EF) - Requires product weight to be derived or assumed. Assuming total product weight from BOM is (0.5+0.3)kg + Circuit Board weight. Let\'s assume total product weight is ~1 kg. Thus, 1 kg * 5000 km * 0.01 kgCO2e/tkm = 5 kgCO2e.</w:t>
      </w:r>
    </w:p>
    <w:p>
      <w:pPr>
        <w:numPr>
          <w:ilvl w:val="1"/>
          <w:numId w:val="1015"/>
        </w:numPr>
        <w:pStyle w:val="Compact"/>
      </w:pPr>
      <w:r>
        <w:t xml:space="preserve">Last-Mile: (Product weight * Last-mile distance * Road Freight EF) - Assuming last-mile distance of 500 km, 1 kg * 500 km * 0.2 kgCO2e/tkm = 10 kgCO2e.</w:t>
      </w:r>
    </w:p>
    <w:p>
      <w:pPr>
        <w:numPr>
          <w:ilvl w:val="0"/>
          <w:numId w:val="1013"/>
        </w:numPr>
        <w:pStyle w:val="Compact"/>
      </w:pPr>
      <w:r>
        <w:rPr>
          <w:bCs/>
          <w:b/>
        </w:rPr>
        <w:t xml:space="preserve">Use Phase (Illustrative):</w:t>
      </w:r>
      <w:r>
        <w:t xml:space="preserve"> </w:t>
      </w:r>
      <w:r>
        <w:t xml:space="preserve">5 years * 10 kWh/year * 0.3 kgCO2e/kWh = 15 kgCO2e</w:t>
      </w:r>
    </w:p>
    <w:p>
      <w:pPr>
        <w:numPr>
          <w:ilvl w:val="0"/>
          <w:numId w:val="1013"/>
        </w:numPr>
        <w:pStyle w:val="Compact"/>
      </w:pPr>
      <w:r>
        <w:rPr>
          <w:bCs/>
          <w:b/>
        </w:rPr>
        <w:t xml:space="preserve">End-of-Life (Illustrative):</w:t>
      </w:r>
      <w:r>
        <w:t xml:space="preserve"> </w:t>
      </w:r>
      <w:r>
        <w:t xml:space="preserve">Assuming 80% of 1 kg product is recycled with an average saving of -1.5 kgCO2e/kg = 0.8 kg * -1.5 kgCO2e/kg = -1.2 kgCO2e (net avoided emissions). Remaining 20% to landfill (negligible EFs for illustrative purposes or small positive impact).</w:t>
      </w:r>
    </w:p>
    <w:bookmarkEnd w:id="36"/>
    <w:bookmarkStart w:id="37" w:name="emissions-calculation-illustrative"/>
    <w:p>
      <w:pPr>
        <w:pStyle w:val="Heading3"/>
      </w:pPr>
      <w:r>
        <w:t xml:space="preserve">4. Emissions Calculation (Illustrative)</w:t>
      </w:r>
    </w:p>
    <w:p>
      <w:pPr>
        <w:pStyle w:val="FirstParagraph"/>
      </w:pPr>
      <w:r>
        <w:t xml:space="preserve">Applying the activity data and illustrative emission factors, the breakdown of emissions by scope and lifecycle stage is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 per 1.0 unit)</w:t>
            </w:r>
          </w:p>
        </w:tc>
        <w:tc>
          <w:tcPr/>
          <w:p>
            <w:pPr>
              <w:pStyle w:val="Compact"/>
              <w:jc w:val="left"/>
            </w:pPr>
            <w:r>
              <w:t xml:space="preserve">Notes</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4.4</w:t>
            </w:r>
          </w:p>
        </w:tc>
        <w:tc>
          <w:tcPr/>
          <w:p>
            <w:pPr>
              <w:pStyle w:val="Compact"/>
              <w:jc w:val="left"/>
            </w:pPr>
            <w:r>
              <w:t xml:space="preserve">Directly from BOM \'Total Carbon\'.</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0.6</w:t>
            </w:r>
          </w:p>
        </w:tc>
        <w:tc>
          <w:tcPr/>
          <w:p>
            <w:pPr>
              <w:pStyle w:val="Compact"/>
              <w:jc w:val="left"/>
            </w:pPr>
            <w:r>
              <w:t xml:space="preserve">1.0 kWh (grid) * 0.6 kgCO2e/kWh. (Scope 1 if direct fuel combustion was included for factory operations, assumed negligible for this example).</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5.0</w:t>
            </w:r>
          </w:p>
        </w:tc>
        <w:tc>
          <w:tcPr/>
          <w:p>
            <w:pPr>
              <w:pStyle w:val="Compact"/>
              <w:jc w:val="left"/>
            </w:pPr>
            <w:r>
              <w:t xml:space="preserve">Illustrative: 1 kg * 5000 km * 0.01 kgCO2e/tkm.</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10.0</w:t>
            </w:r>
          </w:p>
        </w:tc>
        <w:tc>
          <w:tcPr/>
          <w:p>
            <w:pPr>
              <w:pStyle w:val="Compact"/>
              <w:jc w:val="left"/>
            </w:pPr>
            <w:r>
              <w:t xml:space="preserve">Illustrative: 1 kg * 500 km * 0.2 kgCO2e/tkm.</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w:t>
            </w:r>
          </w:p>
        </w:tc>
        <w:tc>
          <w:tcPr/>
          <w:p>
            <w:pPr>
              <w:pStyle w:val="Compact"/>
              <w:jc w:val="left"/>
            </w:pPr>
            <w:r>
              <w:t xml:space="preserve">Illustrative: 5 years * 10 kWh/year * 0.3 kgCO2e/kWh.</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-1.2</w:t>
            </w:r>
          </w:p>
        </w:tc>
        <w:tc>
          <w:tcPr/>
          <w:p>
            <w:pPr>
              <w:pStyle w:val="Compact"/>
              <w:jc w:val="left"/>
            </w:pPr>
            <w:r>
              <w:t xml:space="preserve">Illustrative avoided emissions from 80% recycling.</w:t>
            </w:r>
          </w:p>
        </w:tc>
      </w:tr>
      <w:tr>
        <w:tc>
          <w:tcPr>
            <w:gridSpan w:val="2"/>
          </w:tcPr>
          <w:p>
            <w:pPr>
              <w:pStyle w:val="Compact"/>
              <w:jc w:val="left"/>
            </w:pPr>
            <w:r>
              <w:rPr>
                <w:bCs/>
                <w:b/>
              </w:rPr>
              <w:t xml:space="preserve">TOTAL PCF (Illustrative)</w:t>
            </w:r>
          </w:p>
        </w:tc>
        <w:tc>
          <w:tcPr/>
          <w:p>
            <w:pPr>
              <w:pStyle w:val="Compact"/>
              <w:jc w:val="left"/>
            </w:pPr>
            <w:r>
              <w:rPr>
                <w:bCs/>
                <w:b/>
              </w:rPr>
              <w:t xml:space="preserve">33.8 kgCO2e</w:t>
            </w:r>
          </w:p>
        </w:tc>
        <w:tc>
          <w:tcPr/>
          <w:p>
            <w:pPr>
              <w:pStyle w:val="Compact"/>
            </w:pPr>
          </w:p>
        </w:tc>
      </w:tr>
    </w:tbl>
    <w:p>
      <w:pPr>
        <w:pStyle w:val="BodyText"/>
      </w:pPr>
      <w:r>
        <w:t xml:space="preserve">**Scope 3 Coverage:** In this illustrative example, Scope 3 emissions (Materials, Transport, Use Phase, EoL) account for approximately 98.2% (4.4 + 5.0 + 10.0 + 15.0 - 1.2 = 33.2 kgCO2e) of the total footprint (33.8 kgCO2e), demonstrating robust compliance with the 95% Scope 3 coverage requirement for 2026.</w:t>
      </w:r>
    </w:p>
    <w:bookmarkEnd w:id="37"/>
    <w:bookmarkStart w:id="38" w:name="review-report---hotspots-and-reliability"/>
    <w:p>
      <w:pPr>
        <w:pStyle w:val="Heading3"/>
      </w:pPr>
      <w:r>
        <w:t xml:space="preserve">5. Review &amp; Report - Hotspots and Reliability</w:t>
      </w:r>
    </w:p>
    <w:p>
      <w:pPr>
        <w:pStyle w:val="FirstParagraph"/>
      </w:pPr>
      <w:r>
        <w:t xml:space="preserve">**Key Emission Hotspots (Illustrative):**</w:t>
      </w:r>
    </w:p>
    <w:p>
      <w:pPr>
        <w:numPr>
          <w:ilvl w:val="0"/>
          <w:numId w:val="1016"/>
        </w:numPr>
        <w:pStyle w:val="Compact"/>
      </w:pPr>
      <w:r>
        <w:t xml:space="preserve">**Use Phase:** Based on these illustrative calculations, the use phase is a dominant hotspot, contributing significantly to the product\'s overall footprint (approximately 44%). This highlights the importance of energy efficiency during product operation.</w:t>
      </w:r>
    </w:p>
    <w:p>
      <w:pPr>
        <w:numPr>
          <w:ilvl w:val="0"/>
          <w:numId w:val="1016"/>
        </w:numPr>
        <w:pStyle w:val="Compact"/>
      </w:pPr>
      <w:r>
        <w:t xml:space="preserve">**Downstream Transport (Last-Mile):** Last-mile delivery also represents a substantial portion (approximately 29.6%), indicating opportunities for optimizing logistics and exploring low-carbon delivery options.</w:t>
      </w:r>
    </w:p>
    <w:p>
      <w:pPr>
        <w:numPr>
          <w:ilvl w:val="0"/>
          <w:numId w:val="1016"/>
        </w:numPr>
        <w:pStyle w:val="Compact"/>
      </w:pPr>
      <w:r>
        <w:t xml:space="preserve">**Materials Acquisition:** The raw materials, particularly the Aluminum Casing, contribute a notable amount (approximately 13%), emphasizing the need for sustainable material sourcing and design.</w:t>
      </w:r>
    </w:p>
    <w:p>
      <w:pPr>
        <w:pStyle w:val="FirstParagraph"/>
      </w:pPr>
      <w:r>
        <w:t xml:space="preserve">**Reliability:** The reliability of this PCF analysis is contingent upon the accuracy and completeness of the provided input data, particularly for the placeholder parameters. While the BOM provided specific \'Total Carbon\' values for materials, the illustrative values for transport modes, distances, energy consumption, and recyclability were assumed for demonstration. For a definitive and auditable report, primary data for all parameters would be required. The use of GHG Protocol compliant emission factors (e.g., from Ecoinvent/DEFRA) enhances the scientific rigor of the calculations where specific data is unavailable.</w:t>
      </w:r>
    </w:p>
    <w:p>
      <w:r>
        <w:pict>
          <v:rect style="width:0;height:1.5pt" o:hralign="center" o:hrstd="t" o:hr="t"/>
        </w:pict>
      </w:r>
    </w:p>
    <w:bookmarkEnd w:id="38"/>
    <w:bookmarkEnd w:id="39"/>
    <w:bookmarkStart w:id="40" w:name="recommendations-for-emission-reduction"/>
    <w:p>
      <w:pPr>
        <w:pStyle w:val="Heading2"/>
      </w:pPr>
      <w:r>
        <w:t xml:space="preserve">Recommendations for Emission Reduction</w:t>
      </w:r>
    </w:p>
    <w:p>
      <w:pPr>
        <w:pStyle w:val="FirstParagraph"/>
      </w:pPr>
      <w:r>
        <w:t xml:space="preserve">Based on the analysis, wrxvufvyzx should consider the following strategic actions to reduce the carbon footprint of sxzvfmtdul:</w:t>
      </w:r>
    </w:p>
    <w:p>
      <w:pPr>
        <w:numPr>
          <w:ilvl w:val="0"/>
          <w:numId w:val="1017"/>
        </w:numPr>
        <w:pStyle w:val="Compact"/>
      </w:pPr>
      <w:r>
        <w:t xml:space="preserve">**Optimize Use Phase Energy Efficiency:** Invest in product redesign to significantly reduce energy consumption during the `iljstmigpm` lifespan. Encourage customers to use renewable energy sources through product features or partnerships.</w:t>
      </w:r>
    </w:p>
    <w:p>
      <w:pPr>
        <w:numPr>
          <w:ilvl w:val="0"/>
          <w:numId w:val="1017"/>
        </w:numPr>
        <w:pStyle w:val="Compact"/>
      </w:pPr>
      <w:r>
        <w:t xml:space="preserve">**Decarbonize Logistics:** Explore more efficient and lower-emission transport modes for both upstream (`Select Mode` for `owspyoqkye`) and last-mile delivery (`Delivery Type`), such as electric vehicles, rail, or optimized routing.</w:t>
      </w:r>
    </w:p>
    <w:p>
      <w:pPr>
        <w:numPr>
          <w:ilvl w:val="0"/>
          <w:numId w:val="1017"/>
        </w:numPr>
        <w:pStyle w:val="Compact"/>
      </w:pPr>
      <w:r>
        <w:t xml:space="preserve">**Sustainable Material Sourcing:** Investigate lower-carbon alternatives for high-impact materials identified in the BOM (e.g., recycled aluminum or bio-based plastics). Collaborate with suppliers to obtain primary, verified emission data for components.</w:t>
      </w:r>
    </w:p>
    <w:p>
      <w:pPr>
        <w:numPr>
          <w:ilvl w:val="0"/>
          <w:numId w:val="1017"/>
        </w:numPr>
        <w:pStyle w:val="Compact"/>
      </w:pPr>
      <w:r>
        <w:t xml:space="preserve">**Enhance Production Energy Mix:** Further increase the `yjkpgxrmjs` percentage of renewable energy used in the China-based manufacturing facility to reduce Scope 2 emissions.</w:t>
      </w:r>
    </w:p>
    <w:p>
      <w:pPr>
        <w:numPr>
          <w:ilvl w:val="0"/>
          <w:numId w:val="1017"/>
        </w:numPr>
        <w:pStyle w:val="Compact"/>
      </w:pPr>
      <w:r>
        <w:t xml:space="preserve">**Strengthen Circularity:** Expand and promote `kjrydvzeem` to maximize the `zfyrvxddsq` recyclability and recovery of materials, creating a net positive impact at end-of-life. Design for disassembly and modularity to facilitate repair and recycling.</w:t>
      </w:r>
    </w:p>
    <w:p>
      <w:r>
        <w:pict>
          <v:rect style="width:0;height:1.5pt" o:hralign="center" o:hrstd="t" o:hr="t"/>
        </w:pict>
      </w:r>
    </w:p>
    <w:p>
      <w:pPr>
        <w:pStyle w:val="FirstParagraph"/>
      </w:pPr>
      <w:r>
        <w:t xml:space="preserve">Confidential - Internal Use Only | Page 1 of 1</w:t>
      </w:r>
    </w:p>
    <w:p>
      <w:pPr>
        <w:pStyle w:val="BodyText"/>
      </w:pPr>
      <w:r>
        <w:t xml:space="preserve">© 2026 wrxvufvyzx. All rights reserved.</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sxzvfmtdul</dc:title>
  <dc:creator/>
  <dc:description>Detailed Product Carbon Footprint (PCF) analysis report for sxzvfmtdul, conducted by lznkqytqrv, Senior Sustainability Consultant, adhering to GHG Protocol and 2026 LSR Update requirements.</dc:description>
  <dc:language>en</dc:language>
  <cp:keywords/>
  <dcterms:created xsi:type="dcterms:W3CDTF">2026-07-15T15:33:32Z</dcterms:created>
  <dcterms:modified xsi:type="dcterms:W3CDTF">2026-07-15T15:33:32Z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