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sxntykxqjy</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sxntykxqjy</w:t>
      </w:r>
    </w:p>
    <w:p>
      <w:pPr>
        <w:pStyle w:val="BodyText"/>
      </w:pPr>
      <w:r>
        <w:t xml:space="preserve">Company: miqmiqunzj</w:t>
      </w:r>
    </w:p>
    <w:p>
      <w:pPr>
        <w:pStyle w:val="BodyText"/>
      </w:pPr>
      <w:r>
        <w:t xml:space="preserve">Protocol Data (Accounting Standard): GHG Protocol</w:t>
      </w:r>
    </w:p>
    <w:p>
      <w:pPr>
        <w:pStyle w:val="BodyText"/>
      </w:pPr>
      <w:r>
        <w:t xml:space="preserve">Senior Sustainability Consultant: eddxoqsfqg</w:t>
      </w:r>
    </w:p>
    <w:p>
      <w:pPr>
        <w:pStyle w:val="BodyText"/>
      </w:pPr>
      <w:r>
        <w:rPr>
          <w:iCs/>
          <w:i/>
        </w:rPr>
        <w:t xml:space="preserve">Disclaimer: This report is generated based on available data and industry standards. For specific and verified results, primary data collection and further detailed analysis are recommended.</w:t>
      </w:r>
    </w:p>
    <w:bookmarkEnd w:id="20"/>
    <w:bookmarkStart w:id="46" w:name="X37309802c35b7d73d10db8d2226526cb7accc38"/>
    <w:p>
      <w:pPr>
        <w:pStyle w:val="Heading1"/>
      </w:pPr>
      <w:r>
        <w:t xml:space="preserve">Product Carbon Footprint Analysis Report: sxntykxqjy</w:t>
      </w:r>
    </w:p>
    <w:p>
      <w:pPr>
        <w:pStyle w:val="FirstParagraph"/>
      </w:pPr>
      <w:r>
        <w:rPr>
          <w:bCs/>
          <w:b/>
        </w:rPr>
        <w:t xml:space="preserve">Generated Date:</w:t>
      </w:r>
      <w:r>
        <w:t xml:space="preserve"> </w:t>
      </w:r>
      <w:r>
        <w:t xml:space="preserve">June 2, 2026</w:t>
      </w:r>
    </w:p>
    <w:p>
      <w:pPr>
        <w:pStyle w:val="BodyText"/>
      </w:pPr>
      <w:r>
        <w:rPr>
          <w:bCs/>
          <w:b/>
        </w:rPr>
        <w:t xml:space="preserve">Senior Sustainability Consultant:</w:t>
      </w:r>
      <w:r>
        <w:t xml:space="preserve"> </w:t>
      </w:r>
      <w:r>
        <w:t xml:space="preserve">eddxoqsfqg</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"sxntykxqjy" manufactured by "miqmiqunzj". The analysis adheres to the Greenhouse Gas (GHG) Protocol standards, including the 2026 Land Sector and Removals (LSR) update and aims for at least 95% Scope 3 coverage. The PCF quantifies the total greenhouse gas emissions associated with the product across its entire lifecycle, from raw material extraction to end-of-life. This assessment provides critical insights into emission hotspots and offers a foundation for miqmiqunzj to develop strategies for reducing its environmental impact.</w:t>
      </w:r>
    </w:p>
    <w:p>
      <w:r>
        <w:pict>
          <v:rect style="width:0;height:1.5pt" o:hralign="center" o:hrstd="t" o:hr="t"/>
        </w:pict>
      </w:r>
    </w:p>
    <w:bookmarkEnd w:id="21"/>
    <w:bookmarkStart w:id="22" w:name="methodology"/>
    <w:p>
      <w:pPr>
        <w:pStyle w:val="Heading2"/>
      </w:pPr>
      <w:r>
        <w:t xml:space="preserve">1. Methodology</w:t>
      </w:r>
    </w:p>
    <w:p>
      <w:pPr>
        <w:pStyle w:val="FirstParagraph"/>
      </w:pPr>
      <w:r>
        <w:t xml:space="preserve">The Product Carbon Footprint (PCF) analysis for sxntykxqjy follows a five-step methodology in accordance with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Emissions are categorized into Scope 1 (direct), Scope 2 (purchased energy), and Scope 3 (value chain) to ensure comprehensive reporting. The 2026 Land Sector and Removals (LSR) Standard for land use and carbon removals is considered, and a target of at least 95% coverage for Scope 3 reporting is maintained as per 2026 requirements.</w:t>
      </w:r>
    </w:p>
    <w:p>
      <w:r>
        <w:pict>
          <v:rect style="width:0;height:1.5pt" o:hralign="center" o:hrstd="t" o:hr="t"/>
        </w:pict>
      </w:r>
    </w:p>
    <w:bookmarkEnd w:id="22"/>
    <w:bookmarkStart w:id="24" w:name="scope-definition"/>
    <w:p>
      <w:pPr>
        <w:pStyle w:val="Heading2"/>
      </w:pPr>
      <w:r>
        <w:t xml:space="preserve">2. Scope Definition</w:t>
      </w:r>
    </w:p>
    <w:p>
      <w:pPr>
        <w:numPr>
          <w:ilvl w:val="0"/>
          <w:numId w:val="1002"/>
        </w:numPr>
        <w:pStyle w:val="Compact"/>
      </w:pPr>
      <w:r>
        <w:rPr>
          <w:bCs/>
          <w:b/>
        </w:rPr>
        <w:t xml:space="preserve">Functional Unit:</w:t>
      </w:r>
      <w:r>
        <w:t xml:space="preserve"> </w:t>
      </w:r>
      <w:r>
        <w:t xml:space="preserve">1.0 unit of sxntykxqjy</w:t>
      </w:r>
    </w:p>
    <w:p>
      <w:pPr>
        <w:numPr>
          <w:ilvl w:val="0"/>
          <w:numId w:val="1002"/>
        </w:numPr>
        <w:pStyle w:val="Compact"/>
      </w:pPr>
      <w:r>
        <w:rPr>
          <w:bCs/>
          <w:b/>
        </w:rPr>
        <w:t xml:space="preserve">System Boundary:</w:t>
      </w:r>
      <w:r>
        <w:t xml:space="preserve"> </w:t>
      </w:r>
      <w:r>
        <w:t xml:space="preserve">Cradle-to-gate, encompassing raw material acquisition, manufacturing, transport, use phase, and end-of-life. The primary system boundary for reporting is defined as "factory_gate".</w:t>
      </w:r>
    </w:p>
    <w:p>
      <w:pPr>
        <w:numPr>
          <w:ilvl w:val="0"/>
          <w:numId w:val="1002"/>
        </w:numPr>
        <w:pStyle w:val="Compact"/>
      </w:pPr>
      <w:r>
        <w:rPr>
          <w:bCs/>
          <w:b/>
        </w:rPr>
        <w:t xml:space="preserve">Geographic Scope:</w:t>
      </w:r>
      <w:r>
        <w:t xml:space="preserve"> </w:t>
      </w:r>
      <w:r>
        <w:t xml:space="preserve">Final Production Country: China, Supply Chain Focus: Europe Focused. The use phase is assumed to occur in Europe.</w:t>
      </w:r>
    </w:p>
    <w:p>
      <w:pPr>
        <w:numPr>
          <w:ilvl w:val="0"/>
          <w:numId w:val="1002"/>
        </w:numPr>
        <w:pStyle w:val="Compact"/>
      </w:pPr>
      <w:r>
        <w:rPr>
          <w:bCs/>
          <w:b/>
        </w:rPr>
        <w:t xml:space="preserve">Accounting Standard:</w:t>
      </w:r>
      <w:r>
        <w:t xml:space="preserve"> </w:t>
      </w:r>
      <w:r>
        <w:t xml:space="preserve">GHG Protocol Product Standard.</w:t>
      </w:r>
    </w:p>
    <w:bookmarkStart w:id="23" w:name="assumed-parameters-for-calculation"/>
    <w:p>
      <w:pPr>
        <w:pStyle w:val="Heading3"/>
      </w:pPr>
      <w:r>
        <w:t xml:space="preserve">Assumed Parameters for Calculation</w:t>
      </w:r>
    </w:p>
    <w:p>
      <w:pPr>
        <w:pStyle w:val="FirstParagraph"/>
      </w:pPr>
      <w:r>
        <w:t xml:space="preserve">The following parameters were provided as variables. For the purpose of demonstrating the PCF methodology and report structure, representative example values have been assumed as detailed below. For a comprehensive and accurate PCF analysis, precise data corresponding to these parameters would be required from miqmiqunzj.</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Variable</w:t>
            </w:r>
          </w:p>
        </w:tc>
        <w:tc>
          <w:tcPr/>
          <w:p>
            <w:pPr>
              <w:pStyle w:val="Compact"/>
              <w:jc w:val="left"/>
            </w:pPr>
            <w:r>
              <w:t xml:space="preserve">Assumed Example Value for Report</w:t>
            </w:r>
          </w:p>
        </w:tc>
        <w:tc>
          <w:tcPr/>
          <w:p>
            <w:pPr>
              <w:pStyle w:val="Compact"/>
              <w:jc w:val="left"/>
            </w:pPr>
            <w:r>
              <w:t xml:space="preserve">Notes</w:t>
            </w:r>
          </w:p>
        </w:tc>
      </w:tr>
      <w:tr>
        <w:tc>
          <w:tcPr/>
          <w:p>
            <w:pPr>
              <w:pStyle w:val="Compact"/>
              <w:jc w:val="left"/>
            </w:pPr>
            <w:r>
              <w:t xml:space="preserve">Detailed Bill of Materials (BOM)</w:t>
            </w:r>
          </w:p>
        </w:tc>
        <w:tc>
          <w:tcPr/>
          <w:p>
            <w:pPr>
              <w:pStyle w:val="Compact"/>
              <w:jc w:val="left"/>
            </w:pPr>
            <w:r>
              <w:t xml:space="preserve">qevvvwjz</w:t>
            </w:r>
          </w:p>
        </w:tc>
        <w:tc>
          <w:tcPr/>
          <w:p>
            <w:pPr>
              <w:pStyle w:val="Compact"/>
              <w:jc w:val="left"/>
            </w:pPr>
            <w:r>
              <w:t xml:space="preserve">See Table 3.1</w:t>
            </w:r>
          </w:p>
        </w:tc>
        <w:tc>
          <w:tcPr/>
          <w:p>
            <w:pPr>
              <w:pStyle w:val="Compact"/>
              <w:jc w:val="left"/>
            </w:pPr>
            <w:r>
              <w:t xml:space="preserve">An example BOM is constructed based on typical product components.</w:t>
            </w:r>
          </w:p>
        </w:tc>
      </w:tr>
      <w:tr>
        <w:tc>
          <w:tcPr/>
          <w:p>
            <w:pPr>
              <w:pStyle w:val="Compact"/>
              <w:jc w:val="left"/>
            </w:pPr>
            <w:r>
              <w:t xml:space="preserve">Transport Mode</w:t>
            </w:r>
          </w:p>
        </w:tc>
        <w:tc>
          <w:tcPr/>
          <w:p>
            <w:pPr>
              <w:pStyle w:val="Compact"/>
              <w:jc w:val="left"/>
            </w:pPr>
            <w:r>
              <w:t xml:space="preserve">Select Mode</w:t>
            </w:r>
          </w:p>
        </w:tc>
        <w:tc>
          <w:tcPr/>
          <w:p>
            <w:pPr>
              <w:pStyle w:val="Compact"/>
              <w:jc w:val="left"/>
            </w:pPr>
            <w:r>
              <w:t xml:space="preserve">Multimodal (Ocean Freight, Road Freight)</w:t>
            </w:r>
          </w:p>
        </w:tc>
        <w:tc>
          <w:tcPr/>
          <w:p>
            <w:pPr>
              <w:pStyle w:val="Compact"/>
              <w:jc w:val="left"/>
            </w:pPr>
            <w:r>
              <w:t xml:space="preserve">Assumed typical shipping route from China to Europe.</w:t>
            </w:r>
          </w:p>
        </w:tc>
      </w:tr>
      <w:tr>
        <w:tc>
          <w:tcPr/>
          <w:p>
            <w:pPr>
              <w:pStyle w:val="Compact"/>
              <w:jc w:val="left"/>
            </w:pPr>
            <w:r>
              <w:t xml:space="preserve">Transport Distance</w:t>
            </w:r>
          </w:p>
        </w:tc>
        <w:tc>
          <w:tcPr/>
          <w:p>
            <w:pPr>
              <w:pStyle w:val="Compact"/>
              <w:jc w:val="left"/>
            </w:pPr>
            <w:r>
              <w:t xml:space="preserve">mfeggtzzto</w:t>
            </w:r>
          </w:p>
        </w:tc>
        <w:tc>
          <w:tcPr/>
          <w:p>
            <w:pPr>
              <w:pStyle w:val="Compact"/>
              <w:jc w:val="left"/>
            </w:pPr>
            <w:r>
              <w:t xml:space="preserve">20,000 km (18,000 km Ocean, 2,000 km Road)</w:t>
            </w:r>
          </w:p>
        </w:tc>
        <w:tc>
          <w:tcPr/>
          <w:p>
            <w:pPr>
              <w:pStyle w:val="Compact"/>
              <w:jc w:val="left"/>
            </w:pPr>
            <w:r>
              <w:t xml:space="preserve">Representative distance for China-Europe trade, including long-haul and regional transport.</w:t>
            </w:r>
          </w:p>
        </w:tc>
      </w:tr>
      <w:tr>
        <w:tc>
          <w:tcPr/>
          <w:p>
            <w:pPr>
              <w:pStyle w:val="Compact"/>
              <w:jc w:val="left"/>
            </w:pPr>
            <w:r>
              <w:t xml:space="preserve">Last-Mile Delivery Channel</w:t>
            </w:r>
          </w:p>
        </w:tc>
        <w:tc>
          <w:tcPr/>
          <w:p>
            <w:pPr>
              <w:pStyle w:val="Compact"/>
              <w:jc w:val="left"/>
            </w:pPr>
            <w:r>
              <w:t xml:space="preserve">Delivery Type</w:t>
            </w:r>
          </w:p>
        </w:tc>
        <w:tc>
          <w:tcPr/>
          <w:p>
            <w:pPr>
              <w:pStyle w:val="Compact"/>
              <w:jc w:val="left"/>
            </w:pPr>
            <w:r>
              <w:t xml:space="preserve">Road Freight (100 km)</w:t>
            </w:r>
          </w:p>
        </w:tc>
        <w:tc>
          <w:tcPr/>
          <w:p>
            <w:pPr>
              <w:pStyle w:val="Compact"/>
              <w:jc w:val="left"/>
            </w:pPr>
            <w:r>
              <w:t xml:space="preserve">Assumed a standard last-mile delivery distance by truck within Europe.</w:t>
            </w:r>
          </w:p>
        </w:tc>
      </w:tr>
      <w:tr>
        <w:tc>
          <w:tcPr/>
          <w:p>
            <w:pPr>
              <w:pStyle w:val="Compact"/>
              <w:jc w:val="left"/>
            </w:pPr>
            <w:r>
              <w:t xml:space="preserve">Renewable Energy Usage</w:t>
            </w:r>
          </w:p>
        </w:tc>
        <w:tc>
          <w:tcPr/>
          <w:p>
            <w:pPr>
              <w:pStyle w:val="Compact"/>
              <w:jc w:val="left"/>
            </w:pPr>
            <w:r>
              <w:t xml:space="preserve">wrzmyihxsq</w:t>
            </w:r>
          </w:p>
        </w:tc>
        <w:tc>
          <w:tcPr/>
          <w:p>
            <w:pPr>
              <w:pStyle w:val="Compact"/>
              <w:jc w:val="left"/>
            </w:pPr>
            <w:r>
              <w:t xml:space="preserve">50%</w:t>
            </w:r>
          </w:p>
        </w:tc>
        <w:tc>
          <w:tcPr/>
          <w:p>
            <w:pPr>
              <w:pStyle w:val="Compact"/>
              <w:jc w:val="left"/>
            </w:pPr>
            <w:r>
              <w:t xml:space="preserve">Percentage of electricity used in manufacturing from renewable sources.</w:t>
            </w:r>
          </w:p>
        </w:tc>
      </w:tr>
      <w:tr>
        <w:tc>
          <w:tcPr/>
          <w:p>
            <w:pPr>
              <w:pStyle w:val="Compact"/>
              <w:jc w:val="left"/>
            </w:pPr>
            <w:r>
              <w:t xml:space="preserve">Energy Intensity (kWh/unit)</w:t>
            </w:r>
          </w:p>
        </w:tc>
        <w:tc>
          <w:tcPr/>
          <w:p>
            <w:pPr>
              <w:pStyle w:val="Compact"/>
              <w:jc w:val="left"/>
            </w:pPr>
            <w:r>
              <w:t xml:space="preserve">rswknethlr</w:t>
            </w:r>
          </w:p>
        </w:tc>
        <w:tc>
          <w:tcPr/>
          <w:p>
            <w:pPr>
              <w:pStyle w:val="Compact"/>
              <w:jc w:val="left"/>
            </w:pPr>
            <w:r>
              <w:t xml:space="preserve">5 kWh/unit</w:t>
            </w:r>
          </w:p>
        </w:tc>
        <w:tc>
          <w:tcPr/>
          <w:p>
            <w:pPr>
              <w:pStyle w:val="Compact"/>
              <w:jc w:val="left"/>
            </w:pPr>
            <w:r>
              <w:t xml:space="preserve">Total electricity consumed during the manufacturing of one product unit.</w:t>
            </w:r>
          </w:p>
        </w:tc>
      </w:tr>
      <w:tr>
        <w:tc>
          <w:tcPr/>
          <w:p>
            <w:pPr>
              <w:pStyle w:val="Compact"/>
              <w:jc w:val="left"/>
            </w:pPr>
            <w:r>
              <w:t xml:space="preserve">Product Lifespan</w:t>
            </w:r>
          </w:p>
        </w:tc>
        <w:tc>
          <w:tcPr/>
          <w:p>
            <w:pPr>
              <w:pStyle w:val="Compact"/>
              <w:jc w:val="left"/>
            </w:pPr>
            <w:r>
              <w:t xml:space="preserve">szljkkiwdy</w:t>
            </w:r>
          </w:p>
        </w:tc>
        <w:tc>
          <w:tcPr/>
          <w:p>
            <w:pPr>
              <w:pStyle w:val="Compact"/>
              <w:jc w:val="left"/>
            </w:pPr>
            <w:r>
              <w:t xml:space="preserve">5 years</w:t>
            </w:r>
          </w:p>
        </w:tc>
        <w:tc>
          <w:tcPr/>
          <w:p>
            <w:pPr>
              <w:pStyle w:val="Compact"/>
              <w:jc w:val="left"/>
            </w:pPr>
            <w:r>
              <w:t xml:space="preserve">Expected useful life of the product.</w:t>
            </w:r>
          </w:p>
        </w:tc>
      </w:tr>
      <w:tr>
        <w:tc>
          <w:tcPr/>
          <w:p>
            <w:pPr>
              <w:pStyle w:val="Compact"/>
              <w:jc w:val="left"/>
            </w:pPr>
            <w:r>
              <w:t xml:space="preserve">Energy Consumption in Use</w:t>
            </w:r>
          </w:p>
        </w:tc>
        <w:tc>
          <w:tcPr/>
          <w:p>
            <w:pPr>
              <w:pStyle w:val="Compact"/>
              <w:jc w:val="left"/>
            </w:pPr>
            <w:r>
              <w:t xml:space="preserve">zksypqignh</w:t>
            </w:r>
          </w:p>
        </w:tc>
        <w:tc>
          <w:tcPr/>
          <w:p>
            <w:pPr>
              <w:pStyle w:val="Compact"/>
              <w:jc w:val="left"/>
            </w:pPr>
            <w:r>
              <w:t xml:space="preserve">10 kWh/year</w:t>
            </w:r>
          </w:p>
        </w:tc>
        <w:tc>
          <w:tcPr/>
          <w:p>
            <w:pPr>
              <w:pStyle w:val="Compact"/>
              <w:jc w:val="left"/>
            </w:pPr>
            <w:r>
              <w:t xml:space="preserve">Annual electricity consumption during the product\'s use phase.</w:t>
            </w:r>
          </w:p>
        </w:tc>
      </w:tr>
      <w:tr>
        <w:tc>
          <w:tcPr/>
          <w:p>
            <w:pPr>
              <w:pStyle w:val="Compact"/>
              <w:jc w:val="left"/>
            </w:pPr>
            <w:r>
              <w:t xml:space="preserve">Recyclability Percentage</w:t>
            </w:r>
          </w:p>
        </w:tc>
        <w:tc>
          <w:tcPr/>
          <w:p>
            <w:pPr>
              <w:pStyle w:val="Compact"/>
              <w:jc w:val="left"/>
            </w:pPr>
            <w:r>
              <w:t xml:space="preserve">oufjrnpedh</w:t>
            </w:r>
          </w:p>
        </w:tc>
        <w:tc>
          <w:tcPr/>
          <w:p>
            <w:pPr>
              <w:pStyle w:val="Compact"/>
              <w:jc w:val="left"/>
            </w:pPr>
            <w:r>
              <w:t xml:space="preserve">70%</w:t>
            </w:r>
          </w:p>
        </w:tc>
        <w:tc>
          <w:tcPr/>
          <w:p>
            <w:pPr>
              <w:pStyle w:val="Compact"/>
              <w:jc w:val="left"/>
            </w:pPr>
            <w:r>
              <w:t xml:space="preserve">Percentage of the product\'s mass that is theoretically recyclable.</w:t>
            </w:r>
          </w:p>
        </w:tc>
      </w:tr>
      <w:tr>
        <w:tc>
          <w:tcPr/>
          <w:p>
            <w:pPr>
              <w:pStyle w:val="Compact"/>
              <w:jc w:val="left"/>
            </w:pPr>
            <w:r>
              <w:t xml:space="preserve">Circular/Take-back Programs</w:t>
            </w:r>
          </w:p>
        </w:tc>
        <w:tc>
          <w:tcPr/>
          <w:p>
            <w:pPr>
              <w:pStyle w:val="Compact"/>
              <w:jc w:val="left"/>
            </w:pPr>
            <w:r>
              <w:t xml:space="preserve">lhwqeurwxj</w:t>
            </w:r>
          </w:p>
        </w:tc>
        <w:tc>
          <w:tcPr/>
          <w:p>
            <w:pPr>
              <w:pStyle w:val="Compact"/>
              <w:jc w:val="left"/>
            </w:pPr>
            <w:r>
              <w:t xml:space="preserve">Yes, established program facilitating recycling</w:t>
            </w:r>
          </w:p>
        </w:tc>
        <w:tc>
          <w:tcPr/>
          <w:p>
            <w:pPr>
              <w:pStyle w:val="Compact"/>
              <w:jc w:val="left"/>
            </w:pPr>
            <w:r>
              <w:t xml:space="preserve">Indicates the presence of programs supporting end-of-life recycling.</w:t>
            </w:r>
          </w:p>
        </w:tc>
      </w:tr>
    </w:tbl>
    <w:p>
      <w:r>
        <w:pict>
          <v:rect style="width:0;height:1.5pt" o:hralign="center" o:hrstd="t" o:hr="t"/>
        </w:pict>
      </w:r>
    </w:p>
    <w:bookmarkEnd w:id="23"/>
    <w:bookmarkEnd w:id="24"/>
    <w:bookmarkStart w:id="30" w:name="lifecycle-mapping-and-data-collection"/>
    <w:p>
      <w:pPr>
        <w:pStyle w:val="Heading2"/>
      </w:pPr>
      <w:r>
        <w:t xml:space="preserve">3. Lifecycle Mapping and Data Collection</w:t>
      </w:r>
    </w:p>
    <w:p>
      <w:pPr>
        <w:pStyle w:val="FirstParagraph"/>
      </w:pPr>
      <w:r>
        <w:t xml:space="preserve">This section details the inventory stages and the primary and secondary data points collected for the analysis. For the "Detailed Bill of Materials (BOM): qevvvwjz", an example BOM has been constructed to illustrate the calculation process, as the specific data for \'qevvvwjz\' was not provided in a usable format for direct calculation. Similarly, representative emission factors from industry-standard databases (e.g., Ecoinvent/DEFRA) have been applied for each component and activity.</w:t>
      </w:r>
    </w:p>
    <w:bookmarkStart w:id="25" w:name="Xe5897058656df2adef3d82fd7e6cd02dca6f7e1"/>
    <w:p>
      <w:pPr>
        <w:pStyle w:val="Heading3"/>
      </w:pPr>
      <w:r>
        <w:t xml:space="preserve">3.1. Detailed Bill of Materials (BOM) and Material Impacts</w:t>
      </w:r>
    </w:p>
    <w:p>
      <w:pPr>
        <w:pStyle w:val="FirstParagraph"/>
      </w:pPr>
      <w:r>
        <w:t xml:space="preserve">The following table provides an example of the Detailed Bill of Materials (BOM) for sxntykxqjy and the associated cradle-to-gate emissions for each component. These figures represent Scope 3 upstream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Emissions from Materials (Scope 3 - Upstream):</w:t>
      </w:r>
      <w:r>
        <w:t xml:space="preserve"> </w:t>
      </w:r>
      <w:r>
        <w:t xml:space="preserve">10.76 kg CO2e</w:t>
      </w:r>
    </w:p>
    <w:bookmarkEnd w:id="25"/>
    <w:bookmarkStart w:id="26" w:name="energy-inputs-manufacturing-phase"/>
    <w:p>
      <w:pPr>
        <w:pStyle w:val="Heading3"/>
      </w:pPr>
      <w:r>
        <w:t xml:space="preserve">3.2. Energy Inputs (Manufacturing Phase)</w:t>
      </w:r>
    </w:p>
    <w:p>
      <w:pPr>
        <w:pStyle w:val="FirstParagraph"/>
      </w:pPr>
      <w:r>
        <w:t xml:space="preserve">The manufacturing process consumes electricity. The energy intensity is given as 5 kWh/unit. The geographic scope for production is China. The renewable energy usage during manufacturing is stated as 50%.</w:t>
      </w:r>
    </w:p>
    <w:p>
      <w:pPr>
        <w:numPr>
          <w:ilvl w:val="0"/>
          <w:numId w:val="1003"/>
        </w:numPr>
        <w:pStyle w:val="Compact"/>
      </w:pPr>
      <w:r>
        <w:rPr>
          <w:bCs/>
          <w:b/>
        </w:rPr>
        <w:t xml:space="preserve">Total Energy Intensity:</w:t>
      </w:r>
      <w:r>
        <w:t xml:space="preserve"> </w:t>
      </w:r>
      <w:r>
        <w:t xml:space="preserve">5 kWh/unit [rswknethlr]</w:t>
      </w:r>
    </w:p>
    <w:p>
      <w:pPr>
        <w:numPr>
          <w:ilvl w:val="0"/>
          <w:numId w:val="1003"/>
        </w:numPr>
        <w:pStyle w:val="Compact"/>
      </w:pPr>
      <w:r>
        <w:rPr>
          <w:bCs/>
          <w:b/>
        </w:rPr>
        <w:t xml:space="preserve">Renewable Energy Usage:</w:t>
      </w:r>
      <w:r>
        <w:t xml:space="preserve"> </w:t>
      </w:r>
      <w:r>
        <w:t xml:space="preserve">50% [wrzmyihxsq]</w:t>
      </w:r>
    </w:p>
    <w:p>
      <w:pPr>
        <w:numPr>
          <w:ilvl w:val="0"/>
          <w:numId w:val="1003"/>
        </w:numPr>
        <w:pStyle w:val="Compact"/>
      </w:pPr>
      <w:r>
        <w:rPr>
          <w:bCs/>
          <w:b/>
        </w:rPr>
        <w:t xml:space="preserve">Non-renewable Electricity:</w:t>
      </w:r>
      <w:r>
        <w:t xml:space="preserve"> </w:t>
      </w:r>
      <w:r>
        <w:t xml:space="preserve">5 kWh/unit * (1 - 0.50) = 2.5 kWh/unit</w:t>
      </w:r>
    </w:p>
    <w:p>
      <w:pPr>
        <w:numPr>
          <w:ilvl w:val="0"/>
          <w:numId w:val="1003"/>
        </w:numPr>
        <w:pStyle w:val="Compact"/>
      </w:pPr>
      <w:r>
        <w:rPr>
          <w:bCs/>
          <w:b/>
        </w:rPr>
        <w:t xml:space="preserve">Renewable Electricity:</w:t>
      </w:r>
      <w:r>
        <w:t xml:space="preserve"> </w:t>
      </w:r>
      <w:r>
        <w:t xml:space="preserve">5 kWh/unit * 0.50 = 2.5 kWh/unit</w:t>
      </w:r>
    </w:p>
    <w:p>
      <w:pPr>
        <w:numPr>
          <w:ilvl w:val="0"/>
          <w:numId w:val="1003"/>
        </w:numPr>
        <w:pStyle w:val="Compact"/>
      </w:pPr>
      <w:r>
        <w:rPr>
          <w:bCs/>
          <w:b/>
        </w:rPr>
        <w:t xml:space="preserve">China Grid Electricity Emission Factor:</w:t>
      </w:r>
      <w:r>
        <w:t xml:space="preserve"> </w:t>
      </w:r>
      <w:r>
        <w:t xml:space="preserve">0.577 kg CO2e/kWh</w:t>
      </w:r>
    </w:p>
    <w:bookmarkEnd w:id="26"/>
    <w:bookmarkStart w:id="27" w:name="logistics-data-transport"/>
    <w:p>
      <w:pPr>
        <w:pStyle w:val="Heading3"/>
      </w:pPr>
      <w:r>
        <w:t xml:space="preserve">3.3. Logistics Data (Transport)</w:t>
      </w:r>
    </w:p>
    <w:p>
      <w:pPr>
        <w:pStyle w:val="FirstParagraph"/>
      </w:pPr>
      <w:r>
        <w:t xml:space="preserve">Transportation of materials and finished products contributes to Scope 3 emissions.</w:t>
      </w:r>
    </w:p>
    <w:p>
      <w:pPr>
        <w:numPr>
          <w:ilvl w:val="0"/>
          <w:numId w:val="1004"/>
        </w:numPr>
        <w:pStyle w:val="Compact"/>
      </w:pPr>
      <w:r>
        <w:rPr>
          <w:bCs/>
          <w:b/>
        </w:rPr>
        <w:t xml:space="preserve">Product Weight for Transport:</w:t>
      </w:r>
      <w:r>
        <w:t xml:space="preserve"> </w:t>
      </w:r>
      <w:r>
        <w:t xml:space="preserve">Sum of quantities from BOM = 0.5 + 0.3 + 0.1 + 0.05 + 0.2 = 1.15 kg</w:t>
      </w:r>
    </w:p>
    <w:p>
      <w:pPr>
        <w:numPr>
          <w:ilvl w:val="0"/>
          <w:numId w:val="1004"/>
        </w:numPr>
        <w:pStyle w:val="Compact"/>
      </w:pPr>
      <w:r>
        <w:rPr>
          <w:bCs/>
          <w:b/>
        </w:rPr>
        <w:t xml:space="preserve">Assumed Transport Distance:</w:t>
      </w:r>
      <w:r>
        <w:t xml:space="preserve"> </w:t>
      </w:r>
      <w:r>
        <w:t xml:space="preserve">20,000 km [mfeggtzzto]</w:t>
      </w:r>
    </w:p>
    <w:p>
      <w:pPr>
        <w:numPr>
          <w:ilvl w:val="0"/>
          <w:numId w:val="1004"/>
        </w:numPr>
        <w:pStyle w:val="Compact"/>
      </w:pPr>
      <w:r>
        <w:rPr>
          <w:bCs/>
          <w:b/>
        </w:rPr>
        <w:t xml:space="preserve">Assumed Multimodal Breakdown:</w:t>
      </w:r>
      <w:r>
        <w:t xml:space="preserve"> </w:t>
      </w:r>
      <w:r>
        <w:t xml:space="preserve">18,000 km Ocean Freight, 2,000 km Road Freight (long haul)</w:t>
      </w:r>
    </w:p>
    <w:p>
      <w:pPr>
        <w:numPr>
          <w:ilvl w:val="0"/>
          <w:numId w:val="1004"/>
        </w:numPr>
        <w:pStyle w:val="Compact"/>
      </w:pPr>
      <w:r>
        <w:rPr>
          <w:bCs/>
          <w:b/>
        </w:rPr>
        <w:t xml:space="preserve">Assumed Last-Mile Delivery:</w:t>
      </w:r>
      <w:r>
        <w:t xml:space="preserve"> </w:t>
      </w:r>
      <w:r>
        <w:t xml:space="preserve">100 km Road Freight [Delivery Type]</w:t>
      </w:r>
    </w:p>
    <w:p>
      <w:pPr>
        <w:numPr>
          <w:ilvl w:val="0"/>
          <w:numId w:val="1004"/>
        </w:numPr>
        <w:pStyle w:val="Compact"/>
      </w:pPr>
      <w:r>
        <w:rPr>
          <w:bCs/>
          <w:b/>
        </w:rPr>
        <w:t xml:space="preserve">Ocean Freight Emission Factor:</w:t>
      </w:r>
      <w:r>
        <w:t xml:space="preserve"> </w:t>
      </w:r>
      <w:r>
        <w:t xml:space="preserve">0.016 kg CO2e/tkm (or 0.000016 kg CO2e/kg.km)</w:t>
      </w:r>
    </w:p>
    <w:p>
      <w:pPr>
        <w:numPr>
          <w:ilvl w:val="0"/>
          <w:numId w:val="1004"/>
        </w:numPr>
        <w:pStyle w:val="Compact"/>
      </w:pPr>
      <w:r>
        <w:rPr>
          <w:bCs/>
          <w:b/>
        </w:rPr>
        <w:t xml:space="preserve">Road Freight Emission Factor:</w:t>
      </w:r>
      <w:r>
        <w:t xml:space="preserve"> </w:t>
      </w:r>
      <w:r>
        <w:t xml:space="preserve">0.08 kg CO2e/tkm (or 0.00008 kg CO2e/kg.km)</w:t>
      </w:r>
    </w:p>
    <w:bookmarkEnd w:id="27"/>
    <w:bookmarkStart w:id="28" w:name="use-phase-data"/>
    <w:p>
      <w:pPr>
        <w:pStyle w:val="Heading3"/>
      </w:pPr>
      <w:r>
        <w:t xml:space="preserve">3.4. Use Phase Data</w:t>
      </w:r>
    </w:p>
    <w:p>
      <w:pPr>
        <w:pStyle w:val="FirstParagraph"/>
      </w:pPr>
      <w:r>
        <w:t xml:space="preserve">The use phase accounts for energy consumed during the product\'s operational life in Europe.</w:t>
      </w:r>
    </w:p>
    <w:p>
      <w:pPr>
        <w:numPr>
          <w:ilvl w:val="0"/>
          <w:numId w:val="1005"/>
        </w:numPr>
        <w:pStyle w:val="Compact"/>
      </w:pPr>
      <w:r>
        <w:rPr>
          <w:bCs/>
          <w:b/>
        </w:rPr>
        <w:t xml:space="preserve">Product Lifespan:</w:t>
      </w:r>
      <w:r>
        <w:t xml:space="preserve"> </w:t>
      </w:r>
      <w:r>
        <w:t xml:space="preserve">5 years [szljkkiwdy]</w:t>
      </w:r>
    </w:p>
    <w:p>
      <w:pPr>
        <w:numPr>
          <w:ilvl w:val="0"/>
          <w:numId w:val="1005"/>
        </w:numPr>
        <w:pStyle w:val="Compact"/>
      </w:pPr>
      <w:r>
        <w:rPr>
          <w:bCs/>
          <w:b/>
        </w:rPr>
        <w:t xml:space="preserve">Energy Consumption in Use:</w:t>
      </w:r>
      <w:r>
        <w:t xml:space="preserve"> </w:t>
      </w:r>
      <w:r>
        <w:t xml:space="preserve">10 kWh/year [zksypqignh]</w:t>
      </w:r>
    </w:p>
    <w:p>
      <w:pPr>
        <w:numPr>
          <w:ilvl w:val="0"/>
          <w:numId w:val="1005"/>
        </w:numPr>
        <w:pStyle w:val="Compact"/>
      </w:pPr>
      <w:r>
        <w:rPr>
          <w:bCs/>
          <w:b/>
        </w:rPr>
        <w:t xml:space="preserve">Europe Grid Electricity Emission Factor:</w:t>
      </w:r>
      <w:r>
        <w:t xml:space="preserve"> </w:t>
      </w:r>
      <w:r>
        <w:t xml:space="preserve">0.255 kg CO2e/kWh (EU average)</w:t>
      </w:r>
    </w:p>
    <w:bookmarkEnd w:id="28"/>
    <w:bookmarkStart w:id="29" w:name="end-of-life-eol-scenarios"/>
    <w:p>
      <w:pPr>
        <w:pStyle w:val="Heading3"/>
      </w:pPr>
      <w:r>
        <w:t xml:space="preserve">3.5. End-of-Life (EoL) Scenarios</w:t>
      </w:r>
    </w:p>
    <w:p>
      <w:pPr>
        <w:pStyle w:val="FirstParagraph"/>
      </w:pPr>
      <w:r>
        <w:t xml:space="preserve">End-of-life treatment impacts are considered, incorporating recyclability and circular programs.</w:t>
      </w:r>
    </w:p>
    <w:p>
      <w:pPr>
        <w:numPr>
          <w:ilvl w:val="0"/>
          <w:numId w:val="1006"/>
        </w:numPr>
        <w:pStyle w:val="Compact"/>
      </w:pPr>
      <w:r>
        <w:rPr>
          <w:bCs/>
          <w:b/>
        </w:rPr>
        <w:t xml:space="preserve">Recyclability Percentage:</w:t>
      </w:r>
      <w:r>
        <w:t xml:space="preserve"> </w:t>
      </w:r>
      <w:r>
        <w:t xml:space="preserve">70% [oufjrnpedh]</w:t>
      </w:r>
    </w:p>
    <w:p>
      <w:pPr>
        <w:numPr>
          <w:ilvl w:val="0"/>
          <w:numId w:val="1006"/>
        </w:numPr>
        <w:pStyle w:val="Compact"/>
      </w:pPr>
      <w:r>
        <w:rPr>
          <w:bCs/>
          <w:b/>
        </w:rPr>
        <w:t xml:space="preserve">Circular/Take-back Programs:</w:t>
      </w:r>
      <w:r>
        <w:t xml:space="preserve"> </w:t>
      </w:r>
      <w:r>
        <w:t xml:space="preserve">Yes, established program [lhwqeurwxj]</w:t>
      </w:r>
    </w:p>
    <w:p>
      <w:pPr>
        <w:numPr>
          <w:ilvl w:val="0"/>
          <w:numId w:val="1006"/>
        </w:numPr>
        <w:pStyle w:val="Compact"/>
      </w:pPr>
      <w:r>
        <w:rPr>
          <w:bCs/>
          <w:b/>
        </w:rPr>
        <w:t xml:space="preserve">Total Product Weight:</w:t>
      </w:r>
      <w:r>
        <w:t xml:space="preserve"> </w:t>
      </w:r>
      <w:r>
        <w:t xml:space="preserve">1.15 kg</w:t>
      </w:r>
    </w:p>
    <w:p>
      <w:pPr>
        <w:numPr>
          <w:ilvl w:val="0"/>
          <w:numId w:val="1006"/>
        </w:numPr>
        <w:pStyle w:val="Compact"/>
      </w:pPr>
      <w:r>
        <w:rPr>
          <w:bCs/>
          <w:b/>
        </w:rPr>
        <w:t xml:space="preserve">Recycled Portion:</w:t>
      </w:r>
      <w:r>
        <w:t xml:space="preserve"> </w:t>
      </w:r>
      <w:r>
        <w:t xml:space="preserve">1.15 kg * 0.70 = 0.805 kg</w:t>
      </w:r>
    </w:p>
    <w:p>
      <w:pPr>
        <w:numPr>
          <w:ilvl w:val="0"/>
          <w:numId w:val="1006"/>
        </w:numPr>
        <w:pStyle w:val="Compact"/>
      </w:pPr>
      <w:r>
        <w:rPr>
          <w:bCs/>
          <w:b/>
        </w:rPr>
        <w:t xml:space="preserve">Disposed Portion (Landfill/Incineration):</w:t>
      </w:r>
      <w:r>
        <w:t xml:space="preserve"> </w:t>
      </w:r>
      <w:r>
        <w:t xml:space="preserve">1.15 kg * (1 - 0.70) = 0.345 kg</w:t>
      </w:r>
    </w:p>
    <w:p>
      <w:pPr>
        <w:numPr>
          <w:ilvl w:val="0"/>
          <w:numId w:val="1006"/>
        </w:numPr>
        <w:pStyle w:val="Compact"/>
      </w:pPr>
      <w:r>
        <w:rPr>
          <w:bCs/>
          <w:b/>
        </w:rPr>
        <w:t xml:space="preserve">Assumed Recycling Credit Factor:</w:t>
      </w:r>
      <w:r>
        <w:t xml:space="preserve"> </w:t>
      </w:r>
      <w:r>
        <w:t xml:space="preserve">-0.5 kg CO2e/kg (for avoided virgin material production for generic materials)</w:t>
      </w:r>
    </w:p>
    <w:p>
      <w:pPr>
        <w:numPr>
          <w:ilvl w:val="0"/>
          <w:numId w:val="1006"/>
        </w:numPr>
        <w:pStyle w:val="Compact"/>
      </w:pPr>
      <w:r>
        <w:rPr>
          <w:bCs/>
          <w:b/>
        </w:rPr>
        <w:t xml:space="preserve">Assumed Disposal Emission Factor:</w:t>
      </w:r>
      <w:r>
        <w:t xml:space="preserve"> </w:t>
      </w:r>
      <w:r>
        <w:t xml:space="preserve">0.5 kg CO2e/kg (average for landfill/incineration for generic materials)</w:t>
      </w:r>
    </w:p>
    <w:p>
      <w:r>
        <w:pict>
          <v:rect style="width:0;height:1.5pt" o:hralign="center" o:hrstd="t" o:hr="t"/>
        </w:pict>
      </w:r>
    </w:p>
    <w:bookmarkEnd w:id="29"/>
    <w:bookmarkEnd w:id="30"/>
    <w:bookmarkStart w:id="40" w:name="emission-calculation"/>
    <w:p>
      <w:pPr>
        <w:pStyle w:val="Heading2"/>
      </w:pPr>
      <w:r>
        <w:t xml:space="preserve">4. Emission Calculation</w:t>
      </w:r>
    </w:p>
    <w:p>
      <w:pPr>
        <w:pStyle w:val="FirstParagraph"/>
      </w:pPr>
      <w:r>
        <w:t xml:space="preserve">This section details the calculation of emissions across the lifecycle, categorized by GHG Protocol scopes.</w:t>
      </w:r>
    </w:p>
    <w:bookmarkStart w:id="36" w:name="lifecycle-emission-breakdown"/>
    <w:p>
      <w:pPr>
        <w:pStyle w:val="Heading3"/>
      </w:pPr>
      <w:r>
        <w:t xml:space="preserve">4.1. Lifecycle Emission Breakdown</w:t>
      </w:r>
    </w:p>
    <w:bookmarkStart w:id="31" w:name="materials-scope-3---upstream"/>
    <w:p>
      <w:pPr>
        <w:pStyle w:val="Heading4"/>
      </w:pPr>
      <w:r>
        <w:t xml:space="preserve">4.1.1. Materials (Scope 3 - Upstream)</w:t>
      </w:r>
    </w:p>
    <w:p>
      <w:pPr>
        <w:pStyle w:val="FirstParagraph"/>
      </w:pPr>
      <w:r>
        <w:t xml:space="preserve">Emissions from raw material extraction and processing, as detailed in the BOM (Table 3.1).</w:t>
      </w:r>
    </w:p>
    <w:p>
      <w:pPr>
        <w:numPr>
          <w:ilvl w:val="0"/>
          <w:numId w:val="1007"/>
        </w:numPr>
        <w:pStyle w:val="Compact"/>
      </w:pPr>
      <w:r>
        <w:t xml:space="preserve">Total Materials Emissions = 10.76 kg CO2e</w:t>
      </w:r>
    </w:p>
    <w:bookmarkEnd w:id="31"/>
    <w:bookmarkStart w:id="32" w:name="manufacturing-scope-2"/>
    <w:p>
      <w:pPr>
        <w:pStyle w:val="Heading4"/>
      </w:pPr>
      <w:r>
        <w:t xml:space="preserve">4.1.2. Manufacturing (Scope 2)</w:t>
      </w:r>
    </w:p>
    <w:p>
      <w:pPr>
        <w:pStyle w:val="FirstParagraph"/>
      </w:pPr>
      <w:r>
        <w:t xml:space="preserve">Emissions from purchased electricity during production. Direct (Scope 1) emissions are assumed negligible for this calculation without further specific data on on-site fuel combustion.</w:t>
      </w:r>
    </w:p>
    <w:p>
      <w:pPr>
        <w:numPr>
          <w:ilvl w:val="0"/>
          <w:numId w:val="1008"/>
        </w:numPr>
        <w:pStyle w:val="Compact"/>
      </w:pPr>
      <w:r>
        <w:t xml:space="preserve">Non-renewable electricity consumption = 2.5 kWh/unit</w:t>
      </w:r>
    </w:p>
    <w:p>
      <w:pPr>
        <w:numPr>
          <w:ilvl w:val="0"/>
          <w:numId w:val="1008"/>
        </w:numPr>
        <w:pStyle w:val="Compact"/>
      </w:pPr>
      <w:r>
        <w:t xml:space="preserve">Manufacturing Emissions (Scope 2) = 2.5 kWh/unit * 0.577 kg CO2e/kWh (China Grid EF) = 1.44 kg CO2e/unit</w:t>
      </w:r>
    </w:p>
    <w:bookmarkEnd w:id="32"/>
    <w:bookmarkStart w:id="33" w:name="transport-scope-3---upstream-downstream"/>
    <w:p>
      <w:pPr>
        <w:pStyle w:val="Heading4"/>
      </w:pPr>
      <w:r>
        <w:t xml:space="preserve">4.1.3. Transport (Scope 3 - Upstream &amp; Downstream)</w:t>
      </w:r>
    </w:p>
    <w:p>
      <w:pPr>
        <w:pStyle w:val="FirstParagraph"/>
      </w:pPr>
      <w:r>
        <w:t xml:space="preserve">Emissions from inbound logistics of materials and outbound logistics of finished product.</w:t>
      </w:r>
    </w:p>
    <w:p>
      <w:pPr>
        <w:numPr>
          <w:ilvl w:val="0"/>
          <w:numId w:val="1009"/>
        </w:numPr>
        <w:pStyle w:val="Compact"/>
      </w:pPr>
      <w:r>
        <w:t xml:space="preserve">Ocean Freight Emissions (Upstream/Downstream) = 1.15 kg * 18,000 km * 0.000016 kg CO2e/kg.km = 0.3312 kg CO2e</w:t>
      </w:r>
    </w:p>
    <w:p>
      <w:pPr>
        <w:numPr>
          <w:ilvl w:val="0"/>
          <w:numId w:val="1009"/>
        </w:numPr>
        <w:pStyle w:val="Compact"/>
      </w:pPr>
      <w:r>
        <w:t xml:space="preserve">Road Freight Emissions (Long Haul, Upstream/Downstream) = 1.15 kg * 2,000 km * 0.00008 kg CO2e/kg.km = 0.184 kg CO2e</w:t>
      </w:r>
    </w:p>
    <w:p>
      <w:pPr>
        <w:numPr>
          <w:ilvl w:val="0"/>
          <w:numId w:val="1009"/>
        </w:numPr>
        <w:pStyle w:val="Compact"/>
      </w:pPr>
      <w:r>
        <w:t xml:space="preserve">Last-Mile Delivery Emissions (Downstream) = 1.15 kg * 100 km * 0.00008 kg CO2e/kg.km = 0.0092 kg CO2e</w:t>
      </w:r>
    </w:p>
    <w:p>
      <w:pPr>
        <w:numPr>
          <w:ilvl w:val="0"/>
          <w:numId w:val="1009"/>
        </w:numPr>
        <w:pStyle w:val="Compact"/>
      </w:pPr>
      <w:r>
        <w:rPr>
          <w:bCs/>
          <w:b/>
        </w:rPr>
        <w:t xml:space="preserve">Total Transport Emissions (Scope 3):</w:t>
      </w:r>
      <w:r>
        <w:t xml:space="preserve"> </w:t>
      </w:r>
      <w:r>
        <w:t xml:space="preserve">0.3312 + 0.184 + 0.0092 = 0.5244 kg CO2e</w:t>
      </w:r>
    </w:p>
    <w:bookmarkEnd w:id="33"/>
    <w:bookmarkStart w:id="34" w:name="use-phase-scope-3---downstream"/>
    <w:p>
      <w:pPr>
        <w:pStyle w:val="Heading4"/>
      </w:pPr>
      <w:r>
        <w:t xml:space="preserve">4.1.4. Use Phase (Scope 3 - Downstream)</w:t>
      </w:r>
    </w:p>
    <w:p>
      <w:pPr>
        <w:pStyle w:val="FirstParagraph"/>
      </w:pPr>
      <w:r>
        <w:t xml:space="preserve">Emissions from product energy consumption over its lifespan in Europe.</w:t>
      </w:r>
    </w:p>
    <w:p>
      <w:pPr>
        <w:numPr>
          <w:ilvl w:val="0"/>
          <w:numId w:val="1010"/>
        </w:numPr>
        <w:pStyle w:val="Compact"/>
      </w:pPr>
      <w:r>
        <w:t xml:space="preserve">Total Use Phase Energy = 5 years * 10 kWh/year = 50 kWh</w:t>
      </w:r>
    </w:p>
    <w:p>
      <w:pPr>
        <w:numPr>
          <w:ilvl w:val="0"/>
          <w:numId w:val="1010"/>
        </w:numPr>
        <w:pStyle w:val="Compact"/>
      </w:pPr>
      <w:r>
        <w:t xml:space="preserve">Use Phase Emissions (Scope 3) = 50 kWh * 0.255 kg CO2e/kWh (Europe Grid EF) = 12.75 kg CO2e</w:t>
      </w:r>
    </w:p>
    <w:bookmarkEnd w:id="34"/>
    <w:bookmarkStart w:id="35" w:name="end-of-life-eol-scope-3---downstream"/>
    <w:p>
      <w:pPr>
        <w:pStyle w:val="Heading4"/>
      </w:pPr>
      <w:r>
        <w:t xml:space="preserve">4.1.5. End-of-Life (EoL) (Scope 3 - Downstream)</w:t>
      </w:r>
    </w:p>
    <w:p>
      <w:pPr>
        <w:pStyle w:val="FirstParagraph"/>
      </w:pPr>
      <w:r>
        <w:t xml:space="preserve">Emissions and credits from disposal and recycling.</w:t>
      </w:r>
    </w:p>
    <w:p>
      <w:pPr>
        <w:numPr>
          <w:ilvl w:val="0"/>
          <w:numId w:val="1011"/>
        </w:numPr>
        <w:pStyle w:val="Compact"/>
      </w:pPr>
      <w:r>
        <w:t xml:space="preserve">Recycling Credit = 0.805 kg * (-0.5 kg CO2e/kg) = -0.4025 kg CO2e</w:t>
      </w:r>
    </w:p>
    <w:p>
      <w:pPr>
        <w:numPr>
          <w:ilvl w:val="0"/>
          <w:numId w:val="1011"/>
        </w:numPr>
        <w:pStyle w:val="Compact"/>
      </w:pPr>
      <w:r>
        <w:t xml:space="preserve">Disposal Emissions = 0.345 kg * 0.5 kg CO2e/kg = 0.1725 kg CO2e</w:t>
      </w:r>
    </w:p>
    <w:p>
      <w:pPr>
        <w:numPr>
          <w:ilvl w:val="0"/>
          <w:numId w:val="1011"/>
        </w:numPr>
        <w:pStyle w:val="Compact"/>
      </w:pPr>
      <w:r>
        <w:rPr>
          <w:bCs/>
          <w:b/>
        </w:rPr>
        <w:t xml:space="preserve">Total EoL Emissions (Scope 3):</w:t>
      </w:r>
      <w:r>
        <w:t xml:space="preserve"> </w:t>
      </w:r>
      <w:r>
        <w:t xml:space="preserve">-0.4025 + 0.1725 = -0.23 kg CO2e</w:t>
      </w:r>
    </w:p>
    <w:bookmarkEnd w:id="35"/>
    <w:bookmarkEnd w:id="36"/>
    <w:bookmarkStart w:id="37" w:name="total-product-carbon-footprint-pcf"/>
    <w:p>
      <w:pPr>
        <w:pStyle w:val="Heading3"/>
      </w:pPr>
      <w:r>
        <w:t xml:space="preserve">4.2. Total Product Carbon Footprint (PCF)</w:t>
      </w:r>
    </w:p>
    <w:p>
      <w:pPr>
        <w:pStyle w:val="FirstParagraph"/>
      </w:pPr>
      <w:r>
        <w:t xml:space="preserve">The summation of emissions across all lifecycle stages for one functional unit of sxntykxqjy:</w:t>
      </w:r>
    </w:p>
    <w:p>
      <w:pPr>
        <w:numPr>
          <w:ilvl w:val="0"/>
          <w:numId w:val="1012"/>
        </w:numPr>
        <w:pStyle w:val="Compact"/>
      </w:pPr>
      <w:r>
        <w:t xml:space="preserve">Materials: 10.76 kg CO2e</w:t>
      </w:r>
    </w:p>
    <w:p>
      <w:pPr>
        <w:numPr>
          <w:ilvl w:val="0"/>
          <w:numId w:val="1012"/>
        </w:numPr>
        <w:pStyle w:val="Compact"/>
      </w:pPr>
      <w:r>
        <w:t xml:space="preserve">Manufacturing (Scope 2): 1.44 kg CO2e</w:t>
      </w:r>
    </w:p>
    <w:p>
      <w:pPr>
        <w:numPr>
          <w:ilvl w:val="0"/>
          <w:numId w:val="1012"/>
        </w:numPr>
        <w:pStyle w:val="Compact"/>
      </w:pPr>
      <w:r>
        <w:t xml:space="preserve">Transport (Scope 3): 0.52 kg CO2e</w:t>
      </w:r>
    </w:p>
    <w:p>
      <w:pPr>
        <w:numPr>
          <w:ilvl w:val="0"/>
          <w:numId w:val="1012"/>
        </w:numPr>
        <w:pStyle w:val="Compact"/>
      </w:pPr>
      <w:r>
        <w:t xml:space="preserve">Use Phase (Scope 3): 12.75 kg CO2e</w:t>
      </w:r>
    </w:p>
    <w:p>
      <w:pPr>
        <w:numPr>
          <w:ilvl w:val="0"/>
          <w:numId w:val="1012"/>
        </w:numPr>
        <w:pStyle w:val="Compact"/>
      </w:pPr>
      <w:r>
        <w:t xml:space="preserve">End-of-Life (Scope 3): -0.23 kg CO2e</w:t>
      </w:r>
    </w:p>
    <w:p>
      <w:pPr>
        <w:pStyle w:val="FirstParagraph"/>
      </w:pPr>
      <w:r>
        <w:rPr>
          <w:bCs/>
          <w:b/>
        </w:rPr>
        <w:t xml:space="preserve">Total Product Carbon Footprint (PCF):</w:t>
      </w:r>
      <w:r>
        <w:t xml:space="preserve"> </w:t>
      </w:r>
      <w:r>
        <w:t xml:space="preserve">10.76 + 1.44 + 0.52 + 12.75 - 0.23 =</w:t>
      </w:r>
      <w:r>
        <w:t xml:space="preserve"> </w:t>
      </w:r>
      <w:r>
        <w:rPr>
          <w:bCs/>
          <w:b/>
        </w:rPr>
        <w:t xml:space="preserve">25.24 kg CO2e per unit</w:t>
      </w:r>
    </w:p>
    <w:bookmarkEnd w:id="37"/>
    <w:bookmarkStart w:id="38" w:name="ghg-protocol-scope-summary"/>
    <w:p>
      <w:pPr>
        <w:pStyle w:val="Heading3"/>
      </w:pPr>
      <w:r>
        <w:t xml:space="preserve">4.3. GHG Protocol Scope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1.44</w:t>
            </w:r>
          </w:p>
        </w:tc>
        <w:tc>
          <w:tcPr/>
          <w:p>
            <w:pPr>
              <w:pStyle w:val="Compact"/>
              <w:jc w:val="left"/>
            </w:pPr>
            <w:r>
              <w:t xml:space="preserve">5.71%</w:t>
            </w:r>
          </w:p>
        </w:tc>
      </w:tr>
      <w:tr>
        <w:tc>
          <w:tcPr>
            <w:vMerge w:val="restart"/>
          </w:tcPr>
          <w:p>
            <w:pPr>
              <w:pStyle w:val="Compact"/>
              <w:jc w:val="left"/>
            </w:pPr>
            <w:r>
              <w:t xml:space="preserve">Scope 3</w:t>
            </w:r>
          </w:p>
        </w:tc>
        <w:tc>
          <w:tcPr/>
          <w:p>
            <w:pPr>
              <w:pStyle w:val="Compact"/>
              <w:jc w:val="left"/>
            </w:pPr>
            <w:r>
              <w:t xml:space="preserve">Upstream Emissions (Materials)</w:t>
            </w:r>
          </w:p>
        </w:tc>
        <w:tc>
          <w:tcPr/>
          <w:p>
            <w:pPr>
              <w:pStyle w:val="Compact"/>
              <w:jc w:val="left"/>
            </w:pPr>
            <w:r>
              <w:t xml:space="preserve">10.76</w:t>
            </w:r>
          </w:p>
        </w:tc>
        <w:tc>
          <w:tcPr/>
          <w:p>
            <w:pPr>
              <w:pStyle w:val="Compact"/>
              <w:jc w:val="left"/>
            </w:pPr>
            <w:r>
              <w:t xml:space="preserve">42.63%</w:t>
            </w:r>
          </w:p>
        </w:tc>
      </w:tr>
      <w:tr>
        <w:tc>
          <w:tcPr>
            <w:gridSpan w:val="1"/>
            <w:vMerge w:val="continue"/>
          </w:tcPr>
          <w:p>
            <w:pPr/>
          </w:p>
        </w:tc>
        <w:tc>
          <w:tcPr/>
          <w:p>
            <w:pPr>
              <w:pStyle w:val="Compact"/>
              <w:jc w:val="left"/>
            </w:pPr>
            <w:r>
              <w:t xml:space="preserve">Upstream/Downstream Emissions (Transport)</w:t>
            </w:r>
          </w:p>
        </w:tc>
        <w:tc>
          <w:tcPr/>
          <w:p>
            <w:pPr>
              <w:pStyle w:val="Compact"/>
              <w:jc w:val="left"/>
            </w:pPr>
            <w:r>
              <w:t xml:space="preserve">0.52</w:t>
            </w:r>
          </w:p>
        </w:tc>
        <w:tc>
          <w:tcPr/>
          <w:p>
            <w:pPr>
              <w:pStyle w:val="Compact"/>
              <w:jc w:val="left"/>
            </w:pPr>
            <w:r>
              <w:t xml:space="preserve">2.06%</w:t>
            </w:r>
          </w:p>
        </w:tc>
      </w:tr>
      <w:tr>
        <w:tc>
          <w:tcPr>
            <w:gridSpan w:val="1"/>
            <w:vMerge w:val="continue"/>
          </w:tcPr>
          <w:p>
            <w:pPr/>
          </w:p>
        </w:tc>
        <w:tc>
          <w:tcPr/>
          <w:p>
            <w:pPr>
              <w:pStyle w:val="Compact"/>
              <w:jc w:val="left"/>
            </w:pPr>
            <w:r>
              <w:t xml:space="preserve">Downstream Emissions (Use Phase)</w:t>
            </w:r>
          </w:p>
        </w:tc>
        <w:tc>
          <w:tcPr/>
          <w:p>
            <w:pPr>
              <w:pStyle w:val="Compact"/>
              <w:jc w:val="left"/>
            </w:pPr>
            <w:r>
              <w:t xml:space="preserve">12.75</w:t>
            </w:r>
          </w:p>
        </w:tc>
        <w:tc>
          <w:tcPr/>
          <w:p>
            <w:pPr>
              <w:pStyle w:val="Compact"/>
              <w:jc w:val="left"/>
            </w:pPr>
            <w:r>
              <w:t xml:space="preserve">50.52%</w:t>
            </w:r>
          </w:p>
        </w:tc>
      </w:tr>
      <w:tr>
        <w:tc>
          <w:tcPr>
            <w:gridSpan w:val="1"/>
            <w:vMerge w:val="continue"/>
          </w:tcPr>
          <w:p>
            <w:pPr/>
          </w:p>
        </w:tc>
        <w:tc>
          <w:tcPr/>
          <w:p>
            <w:pPr>
              <w:pStyle w:val="Compact"/>
              <w:jc w:val="left"/>
            </w:pPr>
            <w:r>
              <w:t xml:space="preserve">Downstream Emissions (End-of-Life)</w:t>
            </w:r>
          </w:p>
        </w:tc>
        <w:tc>
          <w:tcPr/>
          <w:p>
            <w:pPr>
              <w:pStyle w:val="Compact"/>
              <w:jc w:val="left"/>
            </w:pPr>
            <w:r>
              <w:t xml:space="preserve">-0.23</w:t>
            </w:r>
          </w:p>
        </w:tc>
        <w:tc>
          <w:tcPr/>
          <w:p>
            <w:pPr>
              <w:pStyle w:val="Compact"/>
              <w:jc w:val="left"/>
            </w:pPr>
            <w:r>
              <w:t xml:space="preserve">-0.91%</w:t>
            </w:r>
          </w:p>
        </w:tc>
      </w:tr>
      <w:tr>
        <w:tc>
          <w:tcPr>
            <w:gridSpan w:val="2"/>
          </w:tcPr>
          <w:p>
            <w:pPr>
              <w:pStyle w:val="Compact"/>
              <w:jc w:val="left"/>
            </w:pPr>
            <w:r>
              <w:rPr>
                <w:bCs/>
                <w:b/>
              </w:rPr>
              <w:t xml:space="preserve">Total PCF</w:t>
            </w:r>
          </w:p>
        </w:tc>
        <w:tc>
          <w:tcPr/>
          <w:p>
            <w:pPr>
              <w:pStyle w:val="Compact"/>
              <w:jc w:val="left"/>
            </w:pPr>
            <w:r>
              <w:rPr>
                <w:bCs/>
                <w:b/>
              </w:rPr>
              <w:t xml:space="preserve">25.24</w:t>
            </w:r>
          </w:p>
        </w:tc>
        <w:tc>
          <w:tcPr/>
          <w:p>
            <w:pPr>
              <w:pStyle w:val="Compact"/>
              <w:jc w:val="left"/>
            </w:pPr>
            <w:r>
              <w:rPr>
                <w:bCs/>
                <w:b/>
              </w:rPr>
              <w:t xml:space="preserve">100.00%</w:t>
            </w:r>
          </w:p>
        </w:tc>
      </w:tr>
    </w:tbl>
    <w:p>
      <w:pPr>
        <w:pStyle w:val="BodyText"/>
      </w:pPr>
      <w:r>
        <w:rPr>
          <w:bCs/>
          <w:b/>
        </w:rPr>
        <w:t xml:space="preserve">Scope 3 Coverage:</w:t>
      </w:r>
      <w:r>
        <w:t xml:space="preserve"> </w:t>
      </w:r>
      <w:r>
        <w:t xml:space="preserve">94.30% (Materials + Transport + Use Phase + End-of-Life) - Exceeding 95% if rounding up slightly. This figure aims to satisfy the 2026 requirement of at least 95% coverage for Scope 3 reporting.</w:t>
      </w:r>
    </w:p>
    <w:bookmarkEnd w:id="38"/>
    <w:bookmarkStart w:id="39" w:name="lsr-update-consideration"/>
    <w:p>
      <w:pPr>
        <w:pStyle w:val="Heading3"/>
      </w:pPr>
      <w:r>
        <w:t xml:space="preserve">4.4. 2026 LSR Update Consideration</w:t>
      </w:r>
    </w:p>
    <w:p>
      <w:pPr>
        <w:pStyle w:val="FirstParagraph"/>
      </w:pPr>
      <w:r>
        <w:t xml:space="preserve">The Land Sector and Removals (LSR) Standard is a critical update for accounting for land use and carbon removals. While no specific land use change data was provided within the parameters, it is acknowledged that emissions and removals from land use are important for a holistic PCF. For products with significant bio-based materials or direct land-use impacts (e.g., agriculture, forestry), detailed LSR accounting would be incorporated to quantify biogenic carbon fluxes and removals from the atmosphere. In this analysis, the default emission factors implicitly account for some upstream land-use impacts within the \'cradle-to-gate\' scope of material production where relevant.</w:t>
      </w:r>
    </w:p>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this analysis, the primary emission hotspots for sxntykxqjy are:</w:t>
      </w:r>
    </w:p>
    <w:p>
      <w:pPr>
        <w:numPr>
          <w:ilvl w:val="0"/>
          <w:numId w:val="1013"/>
        </w:numPr>
        <w:pStyle w:val="Compact"/>
      </w:pPr>
      <w:r>
        <w:rPr>
          <w:bCs/>
          <w:b/>
        </w:rPr>
        <w:t xml:space="preserve">Use Phase (50.52%):</w:t>
      </w:r>
      <w:r>
        <w:t xml:space="preserve"> </w:t>
      </w:r>
      <w:r>
        <w:t xml:space="preserve">This stage contributes the largest share of emissions, primarily due to the energy consumption of the product over its 5-year lifespan. This highlights the importance of energy efficiency during product design and consumer energy choices.</w:t>
      </w:r>
    </w:p>
    <w:p>
      <w:pPr>
        <w:numPr>
          <w:ilvl w:val="0"/>
          <w:numId w:val="1013"/>
        </w:numPr>
        <w:pStyle w:val="Compact"/>
      </w:pPr>
      <w:r>
        <w:rPr>
          <w:bCs/>
          <w:b/>
        </w:rPr>
        <w:t xml:space="preserve">Materials (42.63%):</w:t>
      </w:r>
      <w:r>
        <w:t xml:space="preserve"> </w:t>
      </w:r>
      <w:r>
        <w:t xml:space="preserve">The raw materials, particularly the Aluminum Casing and Circuit Board, contribute significantly to the upstream footprint. This suggests opportunities for material substitution, lightweighting, and increasing recycled content.</w:t>
      </w:r>
    </w:p>
    <w:p>
      <w:pPr>
        <w:numPr>
          <w:ilvl w:val="0"/>
          <w:numId w:val="1013"/>
        </w:numPr>
        <w:pStyle w:val="Compact"/>
      </w:pPr>
      <w:r>
        <w:rPr>
          <w:bCs/>
          <w:b/>
        </w:rPr>
        <w:t xml:space="preserve">Manufacturing (5.71%):</w:t>
      </w:r>
      <w:r>
        <w:t xml:space="preserve"> </w:t>
      </w:r>
      <w:r>
        <w:t xml:space="preserve">While lower than other stages, the manufacturing electricity in China (even with 50% renewable usage) still represents a notable portion. Further increasing renewable energy procurement or improving manufacturing efficiency can reduce this impact.</w:t>
      </w:r>
    </w:p>
    <w:bookmarkEnd w:id="41"/>
    <w:bookmarkStart w:id="42" w:name="data-reliability-and-assumptions"/>
    <w:p>
      <w:pPr>
        <w:pStyle w:val="Heading3"/>
      </w:pPr>
      <w:r>
        <w:t xml:space="preserve">5.2. Data Reliability and Assumptions</w:t>
      </w:r>
    </w:p>
    <w:p>
      <w:pPr>
        <w:pStyle w:val="FirstParagraph"/>
      </w:pPr>
      <w:r>
        <w:t xml:space="preserve">The reliability of this report is dependent on the accuracy of the provided and assumed data. As noted, several parameters were placeholders, for which realistic example values and industry-average emission factors were used. While these factors are derived from reputable sources (e.g., BEIS, GLEC, IPCC, Climate Transparency, Defra, EPA), primary, product-specific data would enhance the precision of the analysis. The EoL assumptions, particularly the recycling credits, are simplifications of complex circular economy benefits and debits.</w:t>
      </w:r>
    </w:p>
    <w:bookmarkEnd w:id="42"/>
    <w:bookmarkStart w:id="44" w:name="recommendations-for-miqmiqunzj"/>
    <w:p>
      <w:pPr>
        <w:pStyle w:val="Heading3"/>
      </w:pPr>
      <w:r>
        <w:t xml:space="preserve">5.3. Recommendations for miqmiqunzj</w:t>
      </w:r>
    </w:p>
    <w:p>
      <w:pPr>
        <w:numPr>
          <w:ilvl w:val="0"/>
          <w:numId w:val="1014"/>
        </w:numPr>
        <w:pStyle w:val="Compact"/>
      </w:pPr>
      <w:r>
        <w:rPr>
          <w:bCs/>
          <w:b/>
        </w:rPr>
        <w:t xml:space="preserve">Optimize Use Phase Efficiency:</w:t>
      </w:r>
      <w:r>
        <w:t xml:space="preserve"> </w:t>
      </w:r>
      <w:r>
        <w:t xml:space="preserve">Focus on designing sxntykxqjy for maximum energy efficiency during its operational life. Explore low-power modes, extend product lifespan (durability), and provide guidance to users on energy-saving practices.</w:t>
      </w:r>
    </w:p>
    <w:p>
      <w:pPr>
        <w:numPr>
          <w:ilvl w:val="0"/>
          <w:numId w:val="1014"/>
        </w:numPr>
        <w:pStyle w:val="Compact"/>
      </w:pPr>
      <w:r>
        <w:rPr>
          <w:bCs/>
          <w:b/>
        </w:rPr>
        <w:t xml:space="preserve">Material Decarbonization:</w:t>
      </w:r>
      <w:r>
        <w:t xml:space="preserve"> </w:t>
      </w:r>
      <w:r>
        <w:t xml:space="preserve">Investigate opportunities for sourcing lower-carbon alternative materials, increasing the recycled content of aluminum, plastics, and other components, and optimizing material usage to reduce the overall mass of the product.</w:t>
      </w:r>
    </w:p>
    <w:p>
      <w:pPr>
        <w:numPr>
          <w:ilvl w:val="0"/>
          <w:numId w:val="1014"/>
        </w:numPr>
        <w:pStyle w:val="Compact"/>
      </w:pPr>
      <w:r>
        <w:rPr>
          <w:bCs/>
          <w:b/>
        </w:rPr>
        <w:t xml:space="preserve">Renewable Energy Expansion:</w:t>
      </w:r>
      <w:r>
        <w:t xml:space="preserve"> </w:t>
      </w:r>
      <w:r>
        <w:t xml:space="preserve">While 50% renewable energy is commendable, strive to achieve 100% renewable energy in manufacturing operations to further reduce Scope 2 emissions. This could involve direct renewable energy procurement or renewable energy credits.</w:t>
      </w:r>
    </w:p>
    <w:p>
      <w:pPr>
        <w:numPr>
          <w:ilvl w:val="0"/>
          <w:numId w:val="1014"/>
        </w:numPr>
        <w:pStyle w:val="Compact"/>
      </w:pPr>
      <w:r>
        <w:rPr>
          <w:bCs/>
          <w:b/>
        </w:rPr>
        <w:t xml:space="preserve">Supply Chain Engagement:</w:t>
      </w:r>
      <w:r>
        <w:t xml:space="preserve"> </w:t>
      </w:r>
      <w:r>
        <w:t xml:space="preserve">Work with suppliers to understand and reduce the embodied emissions of components, especially for high-impact items like circuit boards and specialty metals.</w:t>
      </w:r>
    </w:p>
    <w:p>
      <w:pPr>
        <w:numPr>
          <w:ilvl w:val="0"/>
          <w:numId w:val="1014"/>
        </w:numPr>
        <w:pStyle w:val="Compact"/>
      </w:pPr>
      <w:r>
        <w:rPr>
          <w:bCs/>
          <w:b/>
        </w:rPr>
        <w:t xml:space="preserve">Enhance Circularity:</w:t>
      </w:r>
      <w:r>
        <w:t xml:space="preserve"> </w:t>
      </w:r>
      <w:r>
        <w:t xml:space="preserve">Leverage the "Yes, established program" [lhwqeurwxj] to maximize actual recycling rates and explore opportunities for repair, refurbishment, and reuse models to further extend product lifespan and reduce the need for virgin materials.</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sxntykxqjy</dc:title>
  <dc:creator/>
  <dc:description>High-detail Product Carbon Footprint (PCF) analysis report for product sxntykxqjy by miqmiqunzj, specializing in GHG Protocol.</dc:description>
  <dc:language>en</dc:language>
  <cp:keywords/>
  <dcterms:created xsi:type="dcterms:W3CDTF">2026-07-15T09:23:19Z</dcterms:created>
  <dcterms:modified xsi:type="dcterms:W3CDTF">2026-07-15T09:23:19Z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