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swsjliwysu</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swsjliwysu</w:t>
      </w:r>
    </w:p>
    <w:p>
      <w:pPr>
        <w:pStyle w:val="BodyText"/>
      </w:pPr>
      <w:r>
        <w:rPr>
          <w:bCs/>
          <w:b/>
        </w:rPr>
        <w:t xml:space="preserve">Company:</w:t>
      </w:r>
      <w:r>
        <w:t xml:space="preserve"> </w:t>
      </w:r>
      <w:r>
        <w:t xml:space="preserve">ejeiyiqxfm</w:t>
      </w:r>
    </w:p>
    <w:p>
      <w:pPr>
        <w:pStyle w:val="BodyText"/>
      </w:pPr>
      <w:r>
        <w:rPr>
          <w:bCs/>
          <w:b/>
        </w:rPr>
        <w:t xml:space="preserve">Senior Sustainability Consultant:</w:t>
      </w:r>
      <w:r>
        <w:t xml:space="preserve"> </w:t>
      </w:r>
      <w:r>
        <w:t xml:space="preserve">kmxvjetfwo</w:t>
      </w:r>
    </w:p>
    <w:p>
      <w:pPr>
        <w:pStyle w:val="BodyText"/>
      </w:pPr>
      <w:r>
        <w:rPr>
          <w:bCs/>
          <w:b/>
        </w:rPr>
        <w:t xml:space="preserve">Accounting Standard:</w:t>
      </w:r>
      <w:r>
        <w:t xml:space="preserve"> </w:t>
      </w:r>
      <w:r>
        <w:t xml:space="preserve">GHG Protocol</w:t>
      </w:r>
    </w:p>
    <w:p>
      <w:pPr>
        <w:pStyle w:val="BodyText"/>
      </w:pPr>
      <w:r>
        <w:rPr>
          <w:iCs/>
          <w:i/>
        </w:rPr>
        <w:t xml:space="preserve">Disclaimer: This report is generated based on available data and industry standards. Actual emissions may vary.</w:t>
      </w:r>
    </w:p>
    <w:p>
      <w:pPr>
        <w:pStyle w:val="BodyText"/>
      </w:pPr>
      <w:r>
        <w:rPr>
          <w:iCs/>
          <w:i/>
        </w:rPr>
        <w:t xml:space="preserve">Generated Date: May 22, 2026</w:t>
      </w:r>
    </w:p>
    <w:bookmarkEnd w:id="20"/>
    <w:bookmarkStart w:id="48" w:name="X190c4059c712aadf819aa6ac581b846d6a3a2fc"/>
    <w:p>
      <w:pPr>
        <w:pStyle w:val="Heading1"/>
      </w:pPr>
      <w:r>
        <w:t xml:space="preserve">Product Carbon Footprint Analysis for swsjliwysu</w:t>
      </w:r>
    </w:p>
    <w:p>
      <w:pPr>
        <w:pStyle w:val="FirstParagraph"/>
      </w:pPr>
      <w:r>
        <w:rPr>
          <w:bCs/>
          <w:b/>
        </w:rPr>
        <w:t xml:space="preserve">Generated Date:</w:t>
      </w:r>
      <w:r>
        <w:t xml:space="preserve"> </w:t>
      </w:r>
      <w:r>
        <w:t xml:space="preserve">May 22, 2026</w:t>
      </w:r>
    </w:p>
    <w:p>
      <w:pPr>
        <w:pStyle w:val="BodyText"/>
      </w:pPr>
      <w:r>
        <w:rPr>
          <w:bCs/>
          <w:b/>
        </w:rPr>
        <w:t xml:space="preserve">Senior Sustainability Consultant:</w:t>
      </w:r>
      <w:r>
        <w:t xml:space="preserve"> </w:t>
      </w:r>
      <w:r>
        <w:t xml:space="preserve">kmxvjetfwo</w:t>
      </w:r>
    </w:p>
    <w:p>
      <w:pPr>
        <w:pStyle w:val="BodyText"/>
      </w:pPr>
      <w:r>
        <w:t xml:space="preserve">This report provides a high-detail Product Carbon Footprint (PCF) analysis for the product</w:t>
      </w:r>
      <w:r>
        <w:t xml:space="preserve"> </w:t>
      </w:r>
      <w:r>
        <w:rPr>
          <w:bCs/>
          <w:b/>
        </w:rPr>
        <w:t xml:space="preserve">swsjliwysu</w:t>
      </w:r>
      <w:r>
        <w:t xml:space="preserve"> </w:t>
      </w:r>
      <w:r>
        <w:t xml:space="preserve">manufactured by</w:t>
      </w:r>
      <w:r>
        <w:t xml:space="preserve"> </w:t>
      </w:r>
      <w:r>
        <w:rPr>
          <w:bCs/>
          <w:b/>
        </w:rPr>
        <w:t xml:space="preserve">ejeiyiqxfm</w:t>
      </w:r>
      <w:r>
        <w:t xml:space="preserve">, conducted in accordance with the Greenhouse Gas (GHG) Protocol. The analysis aims to quantify the total greenhouse gas emissions associated with the product\'s lifecycle, identify emission hotspots, and support strategic sustainability initiatives.</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Product Carbon Footprint (PCF) report for swsjliwysu details the cradle-to-extended-gate emissions, incorporating material acquisition, manufacturing, transportation, use-phase energy consumption, and end-of-life scenarios. The analysis, conducted by kmxvjetfwo, Senior Sustainability Consultant, adheres strictly to the GHG Protocol, including provisions for the 2026 Land Sector and Removals (LSR) Standard and targeting 95% Scope 3 coverage. Key findings highlight the significant impact of raw material extraction and product use-phase energy, with opportunities for reduction through increased renewable energy adoption, optimized logistics, and enhanced circularity. The total estimated carbon footprint for 1.0 functional unit of swsjliwysu is 43.80 kgCO2e.</w:t>
      </w:r>
    </w:p>
    <w:p>
      <w:r>
        <w:pict>
          <v:rect style="width:0;height:1.5pt" o:hralign="center" o:hrstd="t" o:hr="t"/>
        </w:pict>
      </w:r>
    </w:p>
    <w:bookmarkEnd w:id="21"/>
    <w:bookmarkStart w:id="22" w:name="methodology"/>
    <w:p>
      <w:pPr>
        <w:pStyle w:val="Heading2"/>
      </w:pPr>
      <w:r>
        <w:t xml:space="preserve">1. Methodology</w:t>
      </w:r>
    </w:p>
    <w:p>
      <w:pPr>
        <w:pStyle w:val="FirstParagraph"/>
      </w:pPr>
      <w:r>
        <w:t xml:space="preserve">The Product Carbon Footprint (PCF) analysis for swsjliwysu follows the five-step methodology prescribed by the GHG Protocol Product Standard:</w:t>
      </w:r>
    </w:p>
    <w:p>
      <w:pPr>
        <w:numPr>
          <w:ilvl w:val="0"/>
          <w:numId w:val="1001"/>
        </w:numPr>
        <w:pStyle w:val="Compact"/>
      </w:pPr>
      <w:r>
        <w:rPr>
          <w:bCs/>
          <w:b/>
        </w:rPr>
        <w:t xml:space="preserve">Define Scope:</w:t>
      </w:r>
      <w:r>
        <w:t xml:space="preserve"> </w:t>
      </w:r>
      <w:r>
        <w:t xml:space="preserve">Establish the functional unit, system boundaries, geographic scope, and allocation methods.</w:t>
      </w:r>
    </w:p>
    <w:p>
      <w:pPr>
        <w:numPr>
          <w:ilvl w:val="0"/>
          <w:numId w:val="1001"/>
        </w:numPr>
        <w:pStyle w:val="Compact"/>
      </w:pPr>
      <w:r>
        <w:rPr>
          <w:bCs/>
          <w:b/>
        </w:rPr>
        <w:t xml:space="preserve">Map Lifecycle:</w:t>
      </w:r>
      <w:r>
        <w:t xml:space="preserve"> </w:t>
      </w:r>
      <w:r>
        <w:t xml:space="preserve">Identify and diagram all relevant life cycle stages and associated processes (Life Cycle Inventory - LCI).</w:t>
      </w:r>
    </w:p>
    <w:p>
      <w:pPr>
        <w:numPr>
          <w:ilvl w:val="0"/>
          <w:numId w:val="1001"/>
        </w:numPr>
        <w:pStyle w:val="Compact"/>
      </w:pPr>
      <w:r>
        <w:rPr>
          <w:bCs/>
          <w:b/>
        </w:rPr>
        <w:t xml:space="preserve">Collect Data:</w:t>
      </w:r>
      <w:r>
        <w:t xml:space="preserve"> </w:t>
      </w:r>
      <w:r>
        <w:t xml:space="preserve">Gather primary and secondary data points for each identified process and material.</w:t>
      </w:r>
    </w:p>
    <w:p>
      <w:pPr>
        <w:numPr>
          <w:ilvl w:val="0"/>
          <w:numId w:val="1001"/>
        </w:numPr>
        <w:pStyle w:val="Compact"/>
      </w:pPr>
      <w:r>
        <w:rPr>
          <w:bCs/>
          <w:b/>
        </w:rPr>
        <w:t xml:space="preserve">Calculate Emissions:</w:t>
      </w:r>
      <w:r>
        <w:t xml:space="preserve"> </w:t>
      </w:r>
      <w:r>
        <w:t xml:space="preserve">Quantify greenhouse gas emissions (in CO2e) for each activity by multiplying activity data by appropriate emission factors.</w:t>
      </w:r>
    </w:p>
    <w:p>
      <w:pPr>
        <w:numPr>
          <w:ilvl w:val="0"/>
          <w:numId w:val="1001"/>
        </w:numPr>
        <w:pStyle w:val="Compact"/>
      </w:pPr>
      <w:r>
        <w:rPr>
          <w:bCs/>
          <w:b/>
        </w:rPr>
        <w:t xml:space="preserve">Review &amp; Report:</w:t>
      </w:r>
      <w:r>
        <w:t xml:space="preserve"> </w:t>
      </w:r>
      <w:r>
        <w:t xml:space="preserve">Analyze results, identify hotspots, assess reliability, and present findings in a transparent manner.</w:t>
      </w:r>
    </w:p>
    <w:p>
      <w:pPr>
        <w:pStyle w:val="FirstParagraph"/>
      </w:pPr>
      <w:r>
        <w:t xml:space="preserve">This report categorizes emissions according to the GHG Protocol\'s scopes:</w:t>
      </w:r>
    </w:p>
    <w:p>
      <w:pPr>
        <w:numPr>
          <w:ilvl w:val="0"/>
          <w:numId w:val="1002"/>
        </w:numPr>
        <w:pStyle w:val="Compact"/>
      </w:pPr>
      <w:r>
        <w:rPr>
          <w:bCs/>
          <w:b/>
        </w:rPr>
        <w:t xml:space="preserve">Scope 1:</w:t>
      </w:r>
      <w:r>
        <w:t xml:space="preserve"> </w:t>
      </w:r>
      <w:r>
        <w:t xml:space="preserve">Direct emissions from owned or controlled sources.</w:t>
      </w:r>
    </w:p>
    <w:p>
      <w:pPr>
        <w:numPr>
          <w:ilvl w:val="0"/>
          <w:numId w:val="1002"/>
        </w:numPr>
        <w:pStyle w:val="Compact"/>
      </w:pPr>
      <w:r>
        <w:rPr>
          <w:bCs/>
          <w:b/>
        </w:rPr>
        <w:t xml:space="preserve">Scope 2:</w:t>
      </w:r>
      <w:r>
        <w:t xml:space="preserve"> </w:t>
      </w:r>
      <w:r>
        <w:t xml:space="preserve">Indirect emissions from the generation of purchased energy.</w:t>
      </w:r>
    </w:p>
    <w:p>
      <w:pPr>
        <w:numPr>
          <w:ilvl w:val="0"/>
          <w:numId w:val="1002"/>
        </w:numPr>
        <w:pStyle w:val="Compact"/>
      </w:pPr>
      <w:r>
        <w:rPr>
          <w:bCs/>
          <w:b/>
        </w:rPr>
        <w:t xml:space="preserve">Scope 3:</w:t>
      </w:r>
      <w:r>
        <w:t xml:space="preserve"> </w:t>
      </w:r>
      <w:r>
        <w:t xml:space="preserve">All other indirect emissions that occur in the value chain of the reporting company.</w:t>
      </w:r>
    </w:p>
    <w:p>
      <w:pPr>
        <w:pStyle w:val="FirstParagraph"/>
      </w:pPr>
      <w:r>
        <w:t xml:space="preserve">Furthermore, this analysis applies the principles of the</w:t>
      </w:r>
      <w:r>
        <w:t xml:space="preserve"> </w:t>
      </w:r>
      <w:r>
        <w:rPr>
          <w:bCs/>
          <w:b/>
        </w:rPr>
        <w:t xml:space="preserve">2026 Land Sector and Removals (LSR) Standard</w:t>
      </w:r>
      <w:r>
        <w:t xml:space="preserve"> </w:t>
      </w:r>
      <w:r>
        <w:t xml:space="preserve">for addressing land use and carbon removals, and ensures at least</w:t>
      </w:r>
      <w:r>
        <w:t xml:space="preserve"> </w:t>
      </w:r>
      <w:r>
        <w:rPr>
          <w:bCs/>
          <w:b/>
        </w:rPr>
        <w:t xml:space="preserve">95% coverage for Scope 3 reporting</w:t>
      </w:r>
      <w:r>
        <w:t xml:space="preserve">, aligning with anticipated 2026 requirements.</w:t>
      </w:r>
    </w:p>
    <w:p>
      <w:r>
        <w:pict>
          <v:rect style="width:0;height:1.5pt" o:hralign="center" o:hrstd="t" o:hr="t"/>
        </w:pict>
      </w:r>
    </w:p>
    <w:bookmarkEnd w:id="22"/>
    <w:bookmarkStart w:id="27" w:name="scope-definition-lifecycle-mapping"/>
    <w:p>
      <w:pPr>
        <w:pStyle w:val="Heading2"/>
      </w:pPr>
      <w:r>
        <w:t xml:space="preserve">2. Scope Definition &amp; Lifecycle Mapping</w:t>
      </w:r>
    </w:p>
    <w:bookmarkStart w:id="23" w:name="functional-unit"/>
    <w:p>
      <w:pPr>
        <w:pStyle w:val="Heading3"/>
      </w:pPr>
      <w:r>
        <w:t xml:space="preserve">2.1. Functional Unit</w:t>
      </w:r>
    </w:p>
    <w:p>
      <w:pPr>
        <w:pStyle w:val="FirstParagraph"/>
      </w:pPr>
      <w:r>
        <w:t xml:space="preserve">The functional unit for this PCF analysis is defined as</w:t>
      </w:r>
      <w:r>
        <w:t xml:space="preserve"> </w:t>
      </w:r>
      <w:r>
        <w:rPr>
          <w:bCs/>
          <w:b/>
        </w:rPr>
        <w:t xml:space="preserve">1.0 unit of swsjliwysu</w:t>
      </w:r>
      <w:r>
        <w:t xml:space="preserve">, providing the basis for quantifying and comparing environmental impacts.</w:t>
      </w:r>
    </w:p>
    <w:bookmarkEnd w:id="23"/>
    <w:bookmarkStart w:id="24" w:name="system-boundary"/>
    <w:p>
      <w:pPr>
        <w:pStyle w:val="Heading3"/>
      </w:pPr>
      <w:r>
        <w:t xml:space="preserve">2.2. System Boundary</w:t>
      </w:r>
    </w:p>
    <w:p>
      <w:pPr>
        <w:pStyle w:val="FirstParagraph"/>
      </w:pPr>
      <w:r>
        <w:t xml:space="preserve">The system boundary for this analysis is defined as</w:t>
      </w:r>
      <w:r>
        <w:t xml:space="preserve"> </w:t>
      </w:r>
      <w:r>
        <w:rPr>
          <w:bCs/>
          <w:b/>
        </w:rPr>
        <w:t xml:space="preserve">factory_gate</w:t>
      </w:r>
      <w:r>
        <w:t xml:space="preserve"> </w:t>
      </w:r>
      <w:r>
        <w:t xml:space="preserve">(cradle-to-gate plus expanded Scope 3 for use and end-of-life phases, as per specific requirements). This effectively extends the analysis to \'cradle-to-grave\' for the comprehensive Scope 3 assessment.</w:t>
      </w:r>
    </w:p>
    <w:p>
      <w:pPr>
        <w:numPr>
          <w:ilvl w:val="0"/>
          <w:numId w:val="1003"/>
        </w:numPr>
        <w:pStyle w:val="Compact"/>
      </w:pPr>
      <w:r>
        <w:rPr>
          <w:bCs/>
          <w:b/>
        </w:rPr>
        <w:t xml:space="preserve">Upstream (Scope 3):</w:t>
      </w:r>
      <w:r>
        <w:t xml:space="preserve"> </w:t>
      </w:r>
      <w:r>
        <w:t xml:space="preserve">Raw material extraction, processing, and transportation to the manufacturing facility.</w:t>
      </w:r>
    </w:p>
    <w:p>
      <w:pPr>
        <w:numPr>
          <w:ilvl w:val="0"/>
          <w:numId w:val="1003"/>
        </w:numPr>
        <w:pStyle w:val="Compact"/>
      </w:pPr>
      <w:r>
        <w:rPr>
          <w:bCs/>
          <w:b/>
        </w:rPr>
        <w:t xml:space="preserve">Core (Scope 1 &amp; 2):</w:t>
      </w:r>
      <w:r>
        <w:t xml:space="preserve"> </w:t>
      </w:r>
      <w:r>
        <w:t xml:space="preserve">Manufacturing processes at the ejeiyiqxfm production facility, including direct emissions (Scope 1) and purchased electricity emissions (Scope 2).</w:t>
      </w:r>
    </w:p>
    <w:p>
      <w:pPr>
        <w:numPr>
          <w:ilvl w:val="0"/>
          <w:numId w:val="1003"/>
        </w:numPr>
        <w:pStyle w:val="Compact"/>
      </w:pPr>
      <w:r>
        <w:rPr>
          <w:bCs/>
          <w:b/>
        </w:rPr>
        <w:t xml:space="preserve">Downstream (Scope 3):</w:t>
      </w:r>
      <w:r>
        <w:t xml:space="preserve"> </w:t>
      </w:r>
      <w:r>
        <w:t xml:space="preserve">Transportation from the factory to the customer, product use phase, and end-of-life treatment.</w:t>
      </w:r>
    </w:p>
    <w:bookmarkEnd w:id="24"/>
    <w:bookmarkStart w:id="25" w:name="geographic-scope"/>
    <w:p>
      <w:pPr>
        <w:pStyle w:val="Heading3"/>
      </w:pPr>
      <w:r>
        <w:t xml:space="preserve">2.3. Geographic Scope</w:t>
      </w:r>
    </w:p>
    <w:p>
      <w:pPr>
        <w:numPr>
          <w:ilvl w:val="0"/>
          <w:numId w:val="1004"/>
        </w:numPr>
        <w:pStyle w:val="Compact"/>
      </w:pPr>
      <w:r>
        <w:rPr>
          <w:bCs/>
          <w:b/>
        </w:rPr>
        <w:t xml:space="preserve">Final Production Country:</w:t>
      </w:r>
      <w:r>
        <w:t xml:space="preserve"> </w:t>
      </w:r>
      <w:r>
        <w:t xml:space="preserve">China</w:t>
      </w:r>
    </w:p>
    <w:p>
      <w:pPr>
        <w:numPr>
          <w:ilvl w:val="0"/>
          <w:numId w:val="1004"/>
        </w:numPr>
        <w:pStyle w:val="Compact"/>
      </w:pPr>
      <w:r>
        <w:rPr>
          <w:bCs/>
          <w:b/>
        </w:rPr>
        <w:t xml:space="preserve">Supply Chain Focus:</w:t>
      </w:r>
      <w:r>
        <w:t xml:space="preserve"> </w:t>
      </w:r>
      <w:r>
        <w:t xml:space="preserve">Europe Focused (transportation, upstream material origins assumed to be sourced with European market considerations)</w:t>
      </w:r>
    </w:p>
    <w:bookmarkEnd w:id="25"/>
    <w:bookmarkStart w:id="26" w:name="lifecycle-stages-and-data-sources"/>
    <w:p>
      <w:pPr>
        <w:pStyle w:val="Heading3"/>
      </w:pPr>
      <w:r>
        <w:t xml:space="preserve">2.4. Lifecycle Stages and Data Sources</w:t>
      </w:r>
    </w:p>
    <w:p>
      <w:pPr>
        <w:pStyle w:val="FirstParagraph"/>
      </w:pPr>
      <w:r>
        <w:t xml:space="preserve">The lifecycle stages mapped for swsjliwysu include:</w:t>
      </w:r>
    </w:p>
    <w:p>
      <w:pPr>
        <w:numPr>
          <w:ilvl w:val="0"/>
          <w:numId w:val="1005"/>
        </w:numPr>
        <w:pStyle w:val="Compact"/>
      </w:pPr>
      <w:r>
        <w:rPr>
          <w:bCs/>
          <w:b/>
        </w:rPr>
        <w:t xml:space="preserve">Raw Material Acquisition &amp; Pre-processing:</w:t>
      </w:r>
      <w:r>
        <w:t xml:space="preserve"> </w:t>
      </w:r>
      <w:r>
        <w:t xml:space="preserve">Emissions associated with extracting raw materials and transforming them into industrial inputs.</w:t>
      </w:r>
    </w:p>
    <w:p>
      <w:pPr>
        <w:numPr>
          <w:ilvl w:val="0"/>
          <w:numId w:val="1005"/>
        </w:numPr>
        <w:pStyle w:val="Compact"/>
      </w:pPr>
      <w:r>
        <w:rPr>
          <w:bCs/>
          <w:b/>
        </w:rPr>
        <w:t xml:space="preserve">Manufacturing:</w:t>
      </w:r>
      <w:r>
        <w:t xml:space="preserve"> </w:t>
      </w:r>
      <w:r>
        <w:t xml:space="preserve">Energy consumption and process emissions at the production facility.</w:t>
      </w:r>
    </w:p>
    <w:p>
      <w:pPr>
        <w:numPr>
          <w:ilvl w:val="0"/>
          <w:numId w:val="1005"/>
        </w:numPr>
        <w:pStyle w:val="Compact"/>
      </w:pPr>
      <w:r>
        <w:rPr>
          <w:bCs/>
          <w:b/>
        </w:rPr>
        <w:t xml:space="preserve">Transportation:</w:t>
      </w:r>
      <w:r>
        <w:t xml:space="preserve"> </w:t>
      </w:r>
      <w:r>
        <w:t xml:space="preserve">Inbound logistics (raw materials to factory), outbound logistics (factory to customer), and last-mile delivery.</w:t>
      </w:r>
    </w:p>
    <w:p>
      <w:pPr>
        <w:numPr>
          <w:ilvl w:val="0"/>
          <w:numId w:val="1005"/>
        </w:numPr>
        <w:pStyle w:val="Compact"/>
      </w:pPr>
      <w:r>
        <w:rPr>
          <w:bCs/>
          <w:b/>
        </w:rPr>
        <w:t xml:space="preserve">Use Phase:</w:t>
      </w:r>
      <w:r>
        <w:t xml:space="preserve"> </w:t>
      </w:r>
      <w:r>
        <w:t xml:space="preserve">Energy consumption by the product during its lifespan.</w:t>
      </w:r>
    </w:p>
    <w:p>
      <w:pPr>
        <w:numPr>
          <w:ilvl w:val="0"/>
          <w:numId w:val="1005"/>
        </w:numPr>
        <w:pStyle w:val="Compact"/>
      </w:pPr>
      <w:r>
        <w:rPr>
          <w:bCs/>
          <w:b/>
        </w:rPr>
        <w:t xml:space="preserve">End-of-Life:</w:t>
      </w:r>
      <w:r>
        <w:t xml:space="preserve"> </w:t>
      </w:r>
      <w:r>
        <w:t xml:space="preserve">Disposal, recycling, or recovery processes after the product\'s useful life.</w:t>
      </w:r>
    </w:p>
    <w:p>
      <w:r>
        <w:pict>
          <v:rect style="width:0;height:1.5pt" o:hralign="center" o:hrstd="t" o:hr="t"/>
        </w:pict>
      </w:r>
    </w:p>
    <w:bookmarkEnd w:id="26"/>
    <w:bookmarkEnd w:id="27"/>
    <w:bookmarkStart w:id="33" w:name="data-collection"/>
    <w:p>
      <w:pPr>
        <w:pStyle w:val="Heading2"/>
      </w:pPr>
      <w:r>
        <w:t xml:space="preserve">3. Data Collection</w:t>
      </w:r>
    </w:p>
    <w:p>
      <w:pPr>
        <w:pStyle w:val="FirstParagraph"/>
      </w:pPr>
      <w:r>
        <w:t xml:space="preserve">Primary and secondary data were collected to ensure accuracy and comprehensive coverage of emissions. Where primary data was unavailable, industry-average emission factors from databases such as Ecoinvent and DEFRA were used as proxies (illustrative factors are used for this report given the placeholder data).</w:t>
      </w:r>
    </w:p>
    <w:bookmarkStart w:id="28" w:name="Xe8359ffcaa1fbdd6e2886e72cf574bfc8df827e"/>
    <w:p>
      <w:pPr>
        <w:pStyle w:val="Heading3"/>
      </w:pPr>
      <w:r>
        <w:t xml:space="preserve">3.1. Detailed Bill of Materials (BOM) for swsjliwysu</w:t>
      </w:r>
    </w:p>
    <w:p>
      <w:pPr>
        <w:pStyle w:val="FirstParagraph"/>
      </w:pPr>
      <w:r>
        <w:t xml:space="preserve">The following detailed Bill of Materials (BOM) was used for calculating the material-related carbon impact. The \'Total Carbon\' values represent the pre-calculated carbon footprint (kgCO2e) for the specified quantity of each material, incorporating extraction, processing, and pre-manufacturing transportation up to the factory gate.</w:t>
      </w:r>
    </w:p>
    <w:p>
      <w:pPr>
        <w:pStyle w:val="BodyText"/>
      </w:pPr>
      <w:r>
        <w:rPr>
          <w:iCs/>
          <w:i/>
        </w:rPr>
        <w:t xml:space="preserve">(Note: The BOM data below is illustrative, generated based on the format provided in the prompt "pzvojgkp".)</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7.5</w:t>
            </w:r>
          </w:p>
        </w:tc>
      </w:tr>
      <w:tr>
        <w:tc>
          <w:tcPr/>
          <w:p>
            <w:pPr>
              <w:pStyle w:val="Compact"/>
              <w:jc w:val="left"/>
            </w:pPr>
            <w:r>
              <w:t xml:space="preserve">002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5.0</w:t>
            </w:r>
          </w:p>
        </w:tc>
        <w:tc>
          <w:tcPr/>
          <w:p>
            <w:pPr>
              <w:pStyle w:val="Compact"/>
              <w:jc w:val="left"/>
            </w:pPr>
            <w:r>
              <w:t xml:space="preserve">1.0</w:t>
            </w:r>
          </w:p>
        </w:tc>
      </w:tr>
      <w:tr>
        <w:tc>
          <w:tcPr/>
          <w:p>
            <w:pPr>
              <w:pStyle w:val="Compact"/>
              <w:jc w:val="left"/>
            </w:pPr>
            <w:r>
              <w:t xml:space="preserve">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w:t>
            </w:r>
          </w:p>
        </w:tc>
      </w:tr>
      <w:tr>
        <w:tc>
          <w:tcPr/>
          <w:p>
            <w:pPr>
              <w:pStyle w:val="Compact"/>
              <w:jc w:val="left"/>
            </w:pPr>
            <w:r>
              <w:t xml:space="preserve">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8.0</w:t>
            </w:r>
          </w:p>
        </w:tc>
        <w:tc>
          <w:tcPr/>
          <w:p>
            <w:pPr>
              <w:pStyle w:val="Compact"/>
              <w:jc w:val="left"/>
            </w:pPr>
            <w:r>
              <w:t xml:space="preserve">0.8</w:t>
            </w:r>
          </w:p>
        </w:tc>
      </w:tr>
      <w:tr>
        <w:tc>
          <w:tcPr/>
          <w:p>
            <w:pPr>
              <w:pStyle w:val="Compact"/>
              <w:jc w:val="left"/>
            </w:pPr>
            <w:r>
              <w:t xml:space="preserve">005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1.2</w:t>
            </w:r>
          </w:p>
        </w:tc>
        <w:tc>
          <w:tcPr/>
          <w:p>
            <w:pPr>
              <w:pStyle w:val="Compact"/>
              <w:jc w:val="left"/>
            </w:pPr>
            <w:r>
              <w:t xml:space="preserve">0.36</w:t>
            </w:r>
          </w:p>
        </w:tc>
      </w:tr>
      <w:tr>
        <w:tc>
          <w:tcPr/>
          <w:p>
            <w:pPr>
              <w:pStyle w:val="Compact"/>
              <w:jc w:val="left"/>
            </w:pPr>
            <w:r>
              <w:t xml:space="preserve">006</w:t>
            </w:r>
          </w:p>
        </w:tc>
        <w:tc>
          <w:tcPr/>
          <w:p>
            <w:pPr>
              <w:pStyle w:val="Compact"/>
              <w:jc w:val="left"/>
            </w:pPr>
            <w:r>
              <w:t xml:space="preserve">User Manual</w:t>
            </w:r>
          </w:p>
        </w:tc>
        <w:tc>
          <w:tcPr/>
          <w:p>
            <w:pPr>
              <w:pStyle w:val="Compact"/>
              <w:jc w:val="left"/>
            </w:pPr>
            <w:r>
              <w:t xml:space="preserve">Paper</w:t>
            </w:r>
          </w:p>
        </w:tc>
        <w:tc>
          <w:tcPr/>
          <w:p>
            <w:pPr>
              <w:pStyle w:val="Compact"/>
              <w:jc w:val="left"/>
            </w:pPr>
            <w:r>
              <w:t xml:space="preserve">Printing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w:t>
            </w:r>
          </w:p>
        </w:tc>
        <w:tc>
          <w:tcPr/>
          <w:p>
            <w:pPr>
              <w:pStyle w:val="Compact"/>
              <w:jc w:val="left"/>
            </w:pPr>
            <w:r>
              <w:t xml:space="preserve">0.075</w:t>
            </w:r>
          </w:p>
        </w:tc>
      </w:tr>
      <w:tr>
        <w:tc>
          <w:tcPr/>
          <w:p>
            <w:pPr>
              <w:pStyle w:val="Compact"/>
              <w:jc w:val="left"/>
            </w:pPr>
            <w:r>
              <w:t xml:space="preserve">007</w:t>
            </w:r>
          </w:p>
        </w:tc>
        <w:tc>
          <w:tcPr/>
          <w:p>
            <w:pPr>
              <w:pStyle w:val="Compact"/>
              <w:jc w:val="left"/>
            </w:pPr>
            <w:r>
              <w:t xml:space="preserve">Adhesive</w:t>
            </w:r>
          </w:p>
        </w:tc>
        <w:tc>
          <w:tcPr/>
          <w:p>
            <w:pPr>
              <w:pStyle w:val="Compact"/>
              <w:jc w:val="left"/>
            </w:pPr>
            <w:r>
              <w:t xml:space="preserve">Chemical</w:t>
            </w:r>
          </w:p>
        </w:tc>
        <w:tc>
          <w:tcPr/>
          <w:p>
            <w:pPr>
              <w:pStyle w:val="Compact"/>
              <w:jc w:val="left"/>
            </w:pPr>
            <w:r>
              <w:t xml:space="preserve">Bonding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10.0</w:t>
            </w:r>
          </w:p>
        </w:tc>
        <w:tc>
          <w:tcPr/>
          <w:p>
            <w:pPr>
              <w:pStyle w:val="Compact"/>
              <w:jc w:val="left"/>
            </w:pPr>
            <w:r>
              <w:t xml:space="preserve">0.1</w:t>
            </w:r>
          </w:p>
        </w:tc>
      </w:tr>
    </w:tbl>
    <w:bookmarkEnd w:id="28"/>
    <w:bookmarkStart w:id="29" w:name="logistics-data"/>
    <w:p>
      <w:pPr>
        <w:pStyle w:val="Heading3"/>
      </w:pPr>
      <w:r>
        <w:t xml:space="preserve">3.2. Logistics Data</w:t>
      </w:r>
    </w:p>
    <w:p>
      <w:pPr>
        <w:numPr>
          <w:ilvl w:val="0"/>
          <w:numId w:val="1006"/>
        </w:numPr>
        <w:pStyle w:val="Compact"/>
      </w:pPr>
      <w:r>
        <w:rPr>
          <w:bCs/>
          <w:b/>
        </w:rPr>
        <w:t xml:space="preserve">Transport Mode (Factory to Distribution):</w:t>
      </w:r>
      <w:r>
        <w:t xml:space="preserve"> </w:t>
      </w:r>
      <w:r>
        <w:t xml:space="preserve">Road Freight (Heavy Duty)</w:t>
      </w:r>
    </w:p>
    <w:p>
      <w:pPr>
        <w:numPr>
          <w:ilvl w:val="0"/>
          <w:numId w:val="1006"/>
        </w:numPr>
        <w:pStyle w:val="Compact"/>
      </w:pPr>
      <w:r>
        <w:rPr>
          <w:bCs/>
          <w:b/>
        </w:rPr>
        <w:t xml:space="preserve">Transport Distance (Factory to Distribution):</w:t>
      </w:r>
      <w:r>
        <w:t xml:space="preserve"> </w:t>
      </w:r>
      <w:r>
        <w:t xml:space="preserve">500 km</w:t>
      </w:r>
    </w:p>
    <w:p>
      <w:pPr>
        <w:numPr>
          <w:ilvl w:val="0"/>
          <w:numId w:val="1006"/>
        </w:numPr>
        <w:pStyle w:val="Compact"/>
      </w:pPr>
      <w:r>
        <w:rPr>
          <w:bCs/>
          <w:b/>
        </w:rPr>
        <w:t xml:space="preserve">Last-Mile Delivery Channel:</w:t>
      </w:r>
      <w:r>
        <w:t xml:space="preserve"> </w:t>
      </w:r>
      <w:r>
        <w:t xml:space="preserve">Standard Parcel Delivery</w:t>
      </w:r>
    </w:p>
    <w:p>
      <w:pPr>
        <w:numPr>
          <w:ilvl w:val="0"/>
          <w:numId w:val="1006"/>
        </w:numPr>
        <w:pStyle w:val="Compact"/>
      </w:pPr>
      <w:r>
        <w:rPr>
          <w:bCs/>
          <w:b/>
        </w:rPr>
        <w:t xml:space="preserve">Estimated Product Weight for Transport:</w:t>
      </w:r>
      <w:r>
        <w:t xml:space="preserve"> </w:t>
      </w:r>
      <w:r>
        <w:t xml:space="preserve">2.16 kg (sum of Qty from BOM)</w:t>
      </w:r>
    </w:p>
    <w:bookmarkEnd w:id="29"/>
    <w:bookmarkStart w:id="30" w:name="production-energy-data"/>
    <w:p>
      <w:pPr>
        <w:pStyle w:val="Heading3"/>
      </w:pPr>
      <w:r>
        <w:t xml:space="preserve">3.3. Production Energy Data</w:t>
      </w:r>
    </w:p>
    <w:p>
      <w:pPr>
        <w:numPr>
          <w:ilvl w:val="0"/>
          <w:numId w:val="1007"/>
        </w:numPr>
        <w:pStyle w:val="Compact"/>
      </w:pPr>
      <w:r>
        <w:rPr>
          <w:bCs/>
          <w:b/>
        </w:rPr>
        <w:t xml:space="preserve">Renewable Energy Usage:</w:t>
      </w:r>
      <w:r>
        <w:t xml:space="preserve"> </w:t>
      </w:r>
      <w:r>
        <w:t xml:space="preserve">70%</w:t>
      </w:r>
    </w:p>
    <w:p>
      <w:pPr>
        <w:numPr>
          <w:ilvl w:val="0"/>
          <w:numId w:val="1007"/>
        </w:numPr>
        <w:pStyle w:val="Compact"/>
      </w:pPr>
      <w:r>
        <w:rPr>
          <w:bCs/>
          <w:b/>
        </w:rPr>
        <w:t xml:space="preserve">Energy Intensity (kWh/unit):</w:t>
      </w:r>
      <w:r>
        <w:t xml:space="preserve"> </w:t>
      </w:r>
      <w:r>
        <w:t xml:space="preserve">0.5 kWh/unit</w:t>
      </w:r>
    </w:p>
    <w:bookmarkEnd w:id="30"/>
    <w:bookmarkStart w:id="31" w:name="use-phase-data"/>
    <w:p>
      <w:pPr>
        <w:pStyle w:val="Heading3"/>
      </w:pPr>
      <w:r>
        <w:t xml:space="preserve">3.4. Use Phase Data</w:t>
      </w:r>
    </w:p>
    <w:p>
      <w:pPr>
        <w:numPr>
          <w:ilvl w:val="0"/>
          <w:numId w:val="1008"/>
        </w:numPr>
        <w:pStyle w:val="Compact"/>
      </w:pPr>
      <w:r>
        <w:rPr>
          <w:bCs/>
          <w:b/>
        </w:rPr>
        <w:t xml:space="preserve">Product Lifespan:</w:t>
      </w:r>
      <w:r>
        <w:t xml:space="preserve"> </w:t>
      </w:r>
      <w:r>
        <w:t xml:space="preserve">5 years</w:t>
      </w:r>
    </w:p>
    <w:p>
      <w:pPr>
        <w:numPr>
          <w:ilvl w:val="0"/>
          <w:numId w:val="1008"/>
        </w:numPr>
        <w:pStyle w:val="Compact"/>
      </w:pPr>
      <w:r>
        <w:rPr>
          <w:bCs/>
          <w:b/>
        </w:rPr>
        <w:t xml:space="preserve">Energy Consumption in Use:</w:t>
      </w:r>
      <w:r>
        <w:t xml:space="preserve"> </w:t>
      </w:r>
      <w:r>
        <w:t xml:space="preserve">10 kWh/year</w:t>
      </w:r>
    </w:p>
    <w:bookmarkEnd w:id="31"/>
    <w:bookmarkStart w:id="32" w:name="end-of-life-eol-data"/>
    <w:p>
      <w:pPr>
        <w:pStyle w:val="Heading3"/>
      </w:pPr>
      <w:r>
        <w:t xml:space="preserve">3.5. End-of-Life (EoL) Data</w:t>
      </w:r>
    </w:p>
    <w:p>
      <w:pPr>
        <w:numPr>
          <w:ilvl w:val="0"/>
          <w:numId w:val="1009"/>
        </w:numPr>
        <w:pStyle w:val="Compact"/>
      </w:pPr>
      <w:r>
        <w:rPr>
          <w:bCs/>
          <w:b/>
        </w:rPr>
        <w:t xml:space="preserve">Recyclability Percentage:</w:t>
      </w:r>
      <w:r>
        <w:t xml:space="preserve"> </w:t>
      </w:r>
      <w:r>
        <w:t xml:space="preserve">80%</w:t>
      </w:r>
    </w:p>
    <w:p>
      <w:pPr>
        <w:numPr>
          <w:ilvl w:val="0"/>
          <w:numId w:val="1009"/>
        </w:numPr>
        <w:pStyle w:val="Compact"/>
      </w:pPr>
      <w:r>
        <w:rPr>
          <w:bCs/>
          <w:b/>
        </w:rPr>
        <w:t xml:space="preserve">Circular/Take-back Programs:</w:t>
      </w:r>
      <w:r>
        <w:t xml:space="preserve"> </w:t>
      </w:r>
      <w:r>
        <w:t xml:space="preserve">Available through partner network</w:t>
      </w:r>
    </w:p>
    <w:p>
      <w:r>
        <w:pict>
          <v:rect style="width:0;height:1.5pt" o:hralign="center" o:hrstd="t" o:hr="t"/>
        </w:pict>
      </w:r>
    </w:p>
    <w:bookmarkEnd w:id="32"/>
    <w:bookmarkEnd w:id="33"/>
    <w:bookmarkStart w:id="43" w:name="emission-calculation"/>
    <w:p>
      <w:pPr>
        <w:pStyle w:val="Heading2"/>
      </w:pPr>
      <w:r>
        <w:t xml:space="preserve">4. Emission Calculation</w:t>
      </w:r>
    </w:p>
    <w:p>
      <w:pPr>
        <w:pStyle w:val="FirstParagraph"/>
      </w:pPr>
      <w:r>
        <w:t xml:space="preserve">Emissions are calculated for each lifecycle stage and categorized into GHG Protocol Scopes. Illustrative emission factors are used for this report. Total carbon footprint is presented per functional unit (1.0 unit of swsjliwysu).</w:t>
      </w:r>
    </w:p>
    <w:bookmarkStart w:id="34" w:name="illustrative-emission-factors-used"/>
    <w:p>
      <w:pPr>
        <w:pStyle w:val="Heading3"/>
      </w:pPr>
      <w:r>
        <w:t xml:space="preserve">4.1. Illustrative Emission Factors Used:</w:t>
      </w:r>
    </w:p>
    <w:p>
      <w:pPr>
        <w:numPr>
          <w:ilvl w:val="0"/>
          <w:numId w:val="1010"/>
        </w:numPr>
        <w:pStyle w:val="Compact"/>
      </w:pPr>
      <w:r>
        <w:rPr>
          <w:bCs/>
          <w:b/>
        </w:rPr>
        <w:t xml:space="preserve">Grid Electricity (China):</w:t>
      </w:r>
      <w:r>
        <w:t xml:space="preserve"> </w:t>
      </w:r>
      <w:r>
        <w:t xml:space="preserve">0.65 kgCO2e/kWh</w:t>
      </w:r>
    </w:p>
    <w:p>
      <w:pPr>
        <w:numPr>
          <w:ilvl w:val="0"/>
          <w:numId w:val="1010"/>
        </w:numPr>
        <w:pStyle w:val="Compact"/>
      </w:pPr>
      <w:r>
        <w:rPr>
          <w:bCs/>
          <w:b/>
        </w:rPr>
        <w:t xml:space="preserve">Road Freight (Heavy Duty, Europe Focused):</w:t>
      </w:r>
      <w:r>
        <w:t xml:space="preserve"> </w:t>
      </w:r>
      <w:r>
        <w:t xml:space="preserve">0.08 kgCO2e/tonne-km (tkm)</w:t>
      </w:r>
    </w:p>
    <w:p>
      <w:pPr>
        <w:numPr>
          <w:ilvl w:val="0"/>
          <w:numId w:val="1010"/>
        </w:numPr>
        <w:pStyle w:val="Compact"/>
      </w:pPr>
      <w:r>
        <w:rPr>
          <w:bCs/>
          <w:b/>
        </w:rPr>
        <w:t xml:space="preserve">Standard Parcel Delivery (Last-Mile):</w:t>
      </w:r>
      <w:r>
        <w:t xml:space="preserve"> </w:t>
      </w:r>
      <w:r>
        <w:t xml:space="preserve">0.1 kgCO2e/package</w:t>
      </w:r>
    </w:p>
    <w:p>
      <w:pPr>
        <w:numPr>
          <w:ilvl w:val="0"/>
          <w:numId w:val="1010"/>
        </w:numPr>
        <w:pStyle w:val="Compact"/>
      </w:pPr>
      <w:r>
        <w:rPr>
          <w:bCs/>
          <w:b/>
        </w:rPr>
        <w:t xml:space="preserve">Waste Treatment (Landfill/Incineration - for non-recycled portion):</w:t>
      </w:r>
      <w:r>
        <w:t xml:space="preserve"> </w:t>
      </w:r>
      <w:r>
        <w:t xml:space="preserve">0.1 kgCO2e/kg</w:t>
      </w:r>
    </w:p>
    <w:p>
      <w:pPr>
        <w:numPr>
          <w:ilvl w:val="0"/>
          <w:numId w:val="1010"/>
        </w:numPr>
        <w:pStyle w:val="Compact"/>
      </w:pPr>
      <w:r>
        <w:rPr>
          <w:bCs/>
          <w:b/>
        </w:rPr>
        <w:t xml:space="preserve">Recycled Material Credit (avoided virgin material):</w:t>
      </w:r>
      <w:r>
        <w:t xml:space="preserve"> </w:t>
      </w:r>
      <w:r>
        <w:t xml:space="preserve">-0.5 kgCO2e/kg</w:t>
      </w:r>
    </w:p>
    <w:bookmarkEnd w:id="34"/>
    <w:bookmarkStart w:id="40" w:name="X1bb5ff626c0bcda880778eb777ca7471530d006"/>
    <w:p>
      <w:pPr>
        <w:pStyle w:val="Heading3"/>
      </w:pPr>
      <w:r>
        <w:t xml:space="preserve">4.2. Detailed Emissions by Lifecycle Stage and Scope</w:t>
      </w:r>
    </w:p>
    <w:bookmarkStart w:id="35" w:name="Xff31e690bfe279af69cf88b9219fe5d56042afb"/>
    <w:p>
      <w:pPr>
        <w:pStyle w:val="Heading4"/>
      </w:pPr>
      <w:r>
        <w:t xml:space="preserve">4.2.1. Raw Material Acquisition &amp; Pre-processing (Scope 3 - Upstream)</w:t>
      </w:r>
    </w:p>
    <w:p>
      <w:pPr>
        <w:pStyle w:val="FirstParagraph"/>
      </w:pPr>
      <w:r>
        <w:t xml:space="preserve">This category includes emissions from the extraction, processing, and initial transportation of raw materials to the manufacturing facility.</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BOM Item</w:t>
            </w:r>
          </w:p>
        </w:tc>
        <w:tc>
          <w:tcPr/>
          <w:p>
            <w:pPr>
              <w:pStyle w:val="Compact"/>
              <w:jc w:val="left"/>
            </w:pPr>
            <w:r>
              <w:t xml:space="preserve">Total Carbon (kgCO2e)</w:t>
            </w:r>
          </w:p>
        </w:tc>
      </w:tr>
      <w:tr>
        <w:tc>
          <w:tcPr/>
          <w:p>
            <w:pPr>
              <w:pStyle w:val="Compact"/>
              <w:jc w:val="left"/>
            </w:pPr>
            <w:r>
              <w:t xml:space="preserve">Aluminum Casing</w:t>
            </w:r>
          </w:p>
        </w:tc>
        <w:tc>
          <w:tcPr/>
          <w:p>
            <w:pPr>
              <w:pStyle w:val="Compact"/>
              <w:jc w:val="left"/>
            </w:pPr>
            <w:r>
              <w:t xml:space="preserve">7.50</w:t>
            </w:r>
          </w:p>
        </w:tc>
      </w:tr>
      <w:tr>
        <w:tc>
          <w:tcPr/>
          <w:p>
            <w:pPr>
              <w:pStyle w:val="Compact"/>
              <w:jc w:val="left"/>
            </w:pPr>
            <w:r>
              <w:t xml:space="preserve">Plastic Enclosure</w:t>
            </w:r>
          </w:p>
        </w:tc>
        <w:tc>
          <w:tcPr/>
          <w:p>
            <w:pPr>
              <w:pStyle w:val="Compact"/>
              <w:jc w:val="left"/>
            </w:pPr>
            <w:r>
              <w:t xml:space="preserve">1.00</w:t>
            </w:r>
          </w:p>
        </w:tc>
      </w:tr>
      <w:tr>
        <w:tc>
          <w:tcPr/>
          <w:p>
            <w:pPr>
              <w:pStyle w:val="Compact"/>
              <w:jc w:val="left"/>
            </w:pPr>
            <w:r>
              <w:t xml:space="preserve">Circuit Board</w:t>
            </w:r>
          </w:p>
        </w:tc>
        <w:tc>
          <w:tcPr/>
          <w:p>
            <w:pPr>
              <w:pStyle w:val="Compact"/>
              <w:jc w:val="left"/>
            </w:pPr>
            <w:r>
              <w:t xml:space="preserve">2.00</w:t>
            </w:r>
          </w:p>
        </w:tc>
      </w:tr>
      <w:tr>
        <w:tc>
          <w:tcPr/>
          <w:p>
            <w:pPr>
              <w:pStyle w:val="Compact"/>
              <w:jc w:val="left"/>
            </w:pPr>
            <w:r>
              <w:t xml:space="preserve">Copper Wiring</w:t>
            </w:r>
          </w:p>
        </w:tc>
        <w:tc>
          <w:tcPr/>
          <w:p>
            <w:pPr>
              <w:pStyle w:val="Compact"/>
              <w:jc w:val="left"/>
            </w:pPr>
            <w:r>
              <w:t xml:space="preserve">0.80</w:t>
            </w:r>
          </w:p>
        </w:tc>
      </w:tr>
      <w:tr>
        <w:tc>
          <w:tcPr/>
          <w:p>
            <w:pPr>
              <w:pStyle w:val="Compact"/>
              <w:jc w:val="left"/>
            </w:pPr>
            <w:r>
              <w:t xml:space="preserve">Packaging Cardboard</w:t>
            </w:r>
          </w:p>
        </w:tc>
        <w:tc>
          <w:tcPr/>
          <w:p>
            <w:pPr>
              <w:pStyle w:val="Compact"/>
              <w:jc w:val="left"/>
            </w:pPr>
            <w:r>
              <w:t xml:space="preserve">0.36</w:t>
            </w:r>
          </w:p>
        </w:tc>
      </w:tr>
      <w:tr>
        <w:tc>
          <w:tcPr/>
          <w:p>
            <w:pPr>
              <w:pStyle w:val="Compact"/>
              <w:jc w:val="left"/>
            </w:pPr>
            <w:r>
              <w:t xml:space="preserve">User Manual</w:t>
            </w:r>
          </w:p>
        </w:tc>
        <w:tc>
          <w:tcPr/>
          <w:p>
            <w:pPr>
              <w:pStyle w:val="Compact"/>
              <w:jc w:val="left"/>
            </w:pPr>
            <w:r>
              <w:t xml:space="preserve">0.08</w:t>
            </w:r>
          </w:p>
        </w:tc>
      </w:tr>
      <w:tr>
        <w:tc>
          <w:tcPr/>
          <w:p>
            <w:pPr>
              <w:pStyle w:val="Compact"/>
              <w:jc w:val="left"/>
            </w:pPr>
            <w:r>
              <w:t xml:space="preserve">Adhesive</w:t>
            </w:r>
          </w:p>
        </w:tc>
        <w:tc>
          <w:tcPr/>
          <w:p>
            <w:pPr>
              <w:pStyle w:val="Compact"/>
              <w:jc w:val="left"/>
            </w:pPr>
            <w:r>
              <w:t xml:space="preserve">0.10</w:t>
            </w:r>
          </w:p>
        </w:tc>
      </w:tr>
    </w:tbl>
    <w:p>
      <w:pPr>
        <w:pStyle w:val="BodyText"/>
      </w:pPr>
      <w:r>
        <w:rPr>
          <w:bCs/>
          <w:b/>
        </w:rPr>
        <w:t xml:space="preserve">Total Emissions from Raw Material Acquisition &amp; Pre-processing (Scope 3):</w:t>
      </w:r>
      <w:r>
        <w:t xml:space="preserve"> </w:t>
      </w:r>
      <w:r>
        <w:t xml:space="preserve">11.84 kgCO2e</w:t>
      </w:r>
    </w:p>
    <w:bookmarkEnd w:id="35"/>
    <w:bookmarkStart w:id="36" w:name="manufacturing-scope-1-2"/>
    <w:p>
      <w:pPr>
        <w:pStyle w:val="Heading4"/>
      </w:pPr>
      <w:r>
        <w:t xml:space="preserve">4.2.2. Manufacturing (Scope 1 &amp; 2)</w:t>
      </w:r>
    </w:p>
    <w:p>
      <w:pPr>
        <w:pStyle w:val="FirstParagraph"/>
      </w:pPr>
      <w:r>
        <w:t xml:space="preserve">This includes direct emissions from the factory (Scope 1 - assumed negligible process emissions for this product, focus on energy) and indirect emissions from purchased electricity (Scope 2).</w:t>
      </w:r>
    </w:p>
    <w:p>
      <w:pPr>
        <w:numPr>
          <w:ilvl w:val="0"/>
          <w:numId w:val="1011"/>
        </w:numPr>
        <w:pStyle w:val="Compact"/>
      </w:pPr>
      <w:r>
        <w:t xml:space="preserve">Energy Intensity per unit: 0.5 kWh/unit</w:t>
      </w:r>
    </w:p>
    <w:p>
      <w:pPr>
        <w:numPr>
          <w:ilvl w:val="0"/>
          <w:numId w:val="1011"/>
        </w:numPr>
        <w:pStyle w:val="Compact"/>
      </w:pPr>
      <w:r>
        <w:t xml:space="preserve">Renewable Energy Usage: 70%</w:t>
      </w:r>
    </w:p>
    <w:p>
      <w:pPr>
        <w:numPr>
          <w:ilvl w:val="0"/>
          <w:numId w:val="1011"/>
        </w:numPr>
        <w:pStyle w:val="Compact"/>
      </w:pPr>
      <w:r>
        <w:t xml:space="preserve">Non-renewable energy consumed: 0.15 kWh/unit</w:t>
      </w:r>
    </w:p>
    <w:p>
      <w:pPr>
        <w:pStyle w:val="FirstParagraph"/>
      </w:pPr>
      <w:r>
        <w:rPr>
          <w:bCs/>
          <w:b/>
        </w:rPr>
        <w:t xml:space="preserve">Total Emissions from Manufacturing (Scope 2):</w:t>
      </w:r>
      <w:r>
        <w:t xml:space="preserve"> </w:t>
      </w:r>
      <w:r>
        <w:t xml:space="preserve">0.10 kgCO2e</w:t>
      </w:r>
    </w:p>
    <w:p>
      <w:pPr>
        <w:pStyle w:val="BodyText"/>
      </w:pPr>
      <w:r>
        <w:rPr>
          <w:bCs/>
          <w:b/>
        </w:rPr>
        <w:t xml:space="preserve">Total Emissions from Manufacturing (Scope 1):</w:t>
      </w:r>
      <w:r>
        <w:t xml:space="preserve"> </w:t>
      </w:r>
      <w:r>
        <w:t xml:space="preserve">0.00 kgCO2e</w:t>
      </w:r>
    </w:p>
    <w:bookmarkEnd w:id="36"/>
    <w:bookmarkStart w:id="37" w:name="transportation-scope-3---downstream"/>
    <w:p>
      <w:pPr>
        <w:pStyle w:val="Heading4"/>
      </w:pPr>
      <w:r>
        <w:t xml:space="preserve">4.2.3. Transportation (Scope 3 - Downstream)</w:t>
      </w:r>
    </w:p>
    <w:p>
      <w:pPr>
        <w:pStyle w:val="FirstParagraph"/>
      </w:pPr>
      <w:r>
        <w:t xml:space="preserve">Emissions from transporting the finished product from the factory to the customer, including last-mile delivery.</w:t>
      </w:r>
    </w:p>
    <w:p>
      <w:pPr>
        <w:numPr>
          <w:ilvl w:val="0"/>
          <w:numId w:val="1012"/>
        </w:numPr>
        <w:pStyle w:val="Compact"/>
      </w:pPr>
      <w:r>
        <w:t xml:space="preserve">Product Weight: 2.16 kg</w:t>
      </w:r>
    </w:p>
    <w:p>
      <w:pPr>
        <w:numPr>
          <w:ilvl w:val="0"/>
          <w:numId w:val="1012"/>
        </w:numPr>
        <w:pStyle w:val="Compact"/>
      </w:pPr>
      <w:r>
        <w:t xml:space="preserve">Transport Distance (Road Freight): 500 km</w:t>
      </w:r>
    </w:p>
    <w:p>
      <w:pPr>
        <w:numPr>
          <w:ilvl w:val="0"/>
          <w:numId w:val="1012"/>
        </w:numPr>
        <w:pStyle w:val="Compact"/>
      </w:pPr>
      <w:r>
        <w:t xml:space="preserve">Road Freight Emissions: 0.09 kgCO2e</w:t>
      </w:r>
    </w:p>
    <w:p>
      <w:pPr>
        <w:numPr>
          <w:ilvl w:val="0"/>
          <w:numId w:val="1012"/>
        </w:numPr>
        <w:pStyle w:val="Compact"/>
      </w:pPr>
      <w:r>
        <w:t xml:space="preserve">Last-Mile Delivery Emissions: 0.10 kgCO2e</w:t>
      </w:r>
    </w:p>
    <w:p>
      <w:pPr>
        <w:pStyle w:val="FirstParagraph"/>
      </w:pPr>
      <w:r>
        <w:rPr>
          <w:bCs/>
          <w:b/>
        </w:rPr>
        <w:t xml:space="preserve">Total Emissions from Transportation (Scope 3):</w:t>
      </w:r>
      <w:r>
        <w:t xml:space="preserve"> </w:t>
      </w:r>
      <w:r>
        <w:t xml:space="preserve">0.19 kgCO2e</w:t>
      </w:r>
    </w:p>
    <w:bookmarkEnd w:id="37"/>
    <w:bookmarkStart w:id="38" w:name="use-phase-scope-3---downstream"/>
    <w:p>
      <w:pPr>
        <w:pStyle w:val="Heading4"/>
      </w:pPr>
      <w:r>
        <w:t xml:space="preserve">4.2.4. Use Phase (Scope 3 - Downstream)</w:t>
      </w:r>
    </w:p>
    <w:p>
      <w:pPr>
        <w:pStyle w:val="FirstParagraph"/>
      </w:pPr>
      <w:r>
        <w:t xml:space="preserve">Emissions from the energy consumed by the product during its operational lifespan.</w:t>
      </w:r>
    </w:p>
    <w:p>
      <w:pPr>
        <w:numPr>
          <w:ilvl w:val="0"/>
          <w:numId w:val="1013"/>
        </w:numPr>
        <w:pStyle w:val="Compact"/>
      </w:pPr>
      <w:r>
        <w:t xml:space="preserve">Product Lifespan: 5 years</w:t>
      </w:r>
    </w:p>
    <w:p>
      <w:pPr>
        <w:numPr>
          <w:ilvl w:val="0"/>
          <w:numId w:val="1013"/>
        </w:numPr>
        <w:pStyle w:val="Compact"/>
      </w:pPr>
      <w:r>
        <w:t xml:space="preserve">Energy Consumption in Use per year: 10 kWh/year</w:t>
      </w:r>
    </w:p>
    <w:p>
      <w:pPr>
        <w:numPr>
          <w:ilvl w:val="0"/>
          <w:numId w:val="1013"/>
        </w:numPr>
        <w:pStyle w:val="Compact"/>
      </w:pPr>
      <w:r>
        <w:t xml:space="preserve">Total Energy Consumed over Lifespan: 50 kWh</w:t>
      </w:r>
    </w:p>
    <w:p>
      <w:pPr>
        <w:pStyle w:val="FirstParagraph"/>
      </w:pPr>
      <w:r>
        <w:rPr>
          <w:bCs/>
          <w:b/>
        </w:rPr>
        <w:t xml:space="preserve">Total Emissions from Use Phase (Scope 3):</w:t>
      </w:r>
      <w:r>
        <w:t xml:space="preserve"> </w:t>
      </w:r>
      <w:r>
        <w:t xml:space="preserve">32.50 kgCO2e</w:t>
      </w:r>
    </w:p>
    <w:bookmarkEnd w:id="38"/>
    <w:bookmarkStart w:id="39" w:name="end-of-life-eol-scope-3---downstream"/>
    <w:p>
      <w:pPr>
        <w:pStyle w:val="Heading4"/>
      </w:pPr>
      <w:r>
        <w:t xml:space="preserve">4.2.5. End-of-Life (EoL) (Scope 3 - Downstream)</w:t>
      </w:r>
    </w:p>
    <w:p>
      <w:pPr>
        <w:pStyle w:val="FirstParagraph"/>
      </w:pPr>
      <w:r>
        <w:t xml:space="preserve">Emissions and credits associated with the product\'s disposal and recycling at the end of its useful life, reflecting circular economy impacts.</w:t>
      </w:r>
    </w:p>
    <w:p>
      <w:pPr>
        <w:numPr>
          <w:ilvl w:val="0"/>
          <w:numId w:val="1014"/>
        </w:numPr>
        <w:pStyle w:val="Compact"/>
      </w:pPr>
      <w:r>
        <w:t xml:space="preserve">Recyclability Percentage: 80%</w:t>
      </w:r>
    </w:p>
    <w:p>
      <w:pPr>
        <w:numPr>
          <w:ilvl w:val="0"/>
          <w:numId w:val="1014"/>
        </w:numPr>
        <w:pStyle w:val="Compact"/>
      </w:pPr>
      <w:r>
        <w:t xml:space="preserve">Weight disposed (non-recycled): 0.43 kg</w:t>
      </w:r>
    </w:p>
    <w:p>
      <w:pPr>
        <w:numPr>
          <w:ilvl w:val="0"/>
          <w:numId w:val="1014"/>
        </w:numPr>
        <w:pStyle w:val="Compact"/>
      </w:pPr>
      <w:r>
        <w:t xml:space="preserve">Weight recycled: 1.73 kg</w:t>
      </w:r>
    </w:p>
    <w:p>
      <w:pPr>
        <w:numPr>
          <w:ilvl w:val="0"/>
          <w:numId w:val="1014"/>
        </w:numPr>
        <w:pStyle w:val="Compact"/>
      </w:pPr>
      <w:r>
        <w:t xml:space="preserve">Emissions from Disposal: 0.04 kgCO2e</w:t>
      </w:r>
    </w:p>
    <w:p>
      <w:pPr>
        <w:numPr>
          <w:ilvl w:val="0"/>
          <w:numId w:val="1014"/>
        </w:numPr>
        <w:pStyle w:val="Compact"/>
      </w:pPr>
      <w:r>
        <w:t xml:space="preserve">Credits from Recycling: -0.86 kgCO2e</w:t>
      </w:r>
    </w:p>
    <w:p>
      <w:pPr>
        <w:pStyle w:val="FirstParagraph"/>
      </w:pPr>
      <w:r>
        <w:rPr>
          <w:bCs/>
          <w:b/>
        </w:rPr>
        <w:t xml:space="preserve">Total Emissions/Credits from End-of-Life (Scope 3):</w:t>
      </w:r>
      <w:r>
        <w:t xml:space="preserve"> </w:t>
      </w:r>
      <w:r>
        <w:t xml:space="preserve">-0.82 kgCO2e</w:t>
      </w:r>
    </w:p>
    <w:p>
      <w:pPr>
        <w:pStyle w:val="BodyText"/>
      </w:pPr>
      <w:r>
        <w:t xml:space="preserve">Circular/Take-back Programs: Available through partner network. These programs enhance the effective recyclability and resource recovery beyond typical post-consumer waste streams, contributing to the negative emissions credit calculated.</w:t>
      </w:r>
    </w:p>
    <w:bookmarkEnd w:id="39"/>
    <w:bookmarkEnd w:id="40"/>
    <w:bookmarkStart w:id="41" w:name="total-product-carbon-footprint-summary"/>
    <w:p>
      <w:pPr>
        <w:pStyle w:val="Heading3"/>
      </w:pPr>
      <w:r>
        <w:t xml:space="preserve">4.3. Total Product Carbon Footprint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Total Emissions (kgCO2e/functional unit)</w:t>
            </w:r>
          </w:p>
        </w:tc>
      </w:tr>
      <w:tr>
        <w:tc>
          <w:tcPr/>
          <w:p>
            <w:pPr>
              <w:pStyle w:val="Compact"/>
              <w:jc w:val="left"/>
            </w:pPr>
            <w:r>
              <w:t xml:space="preserve">Raw Material Acquisition &amp; Pre-processing</w:t>
            </w:r>
          </w:p>
        </w:tc>
        <w:tc>
          <w:tcPr/>
          <w:p>
            <w:pPr>
              <w:pStyle w:val="Compact"/>
              <w:jc w:val="left"/>
            </w:pPr>
            <w:r>
              <w:t xml:space="preserve">Scope 3 (Upstream)</w:t>
            </w:r>
          </w:p>
        </w:tc>
        <w:tc>
          <w:tcPr/>
          <w:p>
            <w:pPr>
              <w:pStyle w:val="Compact"/>
              <w:jc w:val="left"/>
            </w:pPr>
            <w:r>
              <w:t xml:space="preserve">11.84</w:t>
            </w:r>
          </w:p>
        </w:tc>
      </w:tr>
      <w:tr>
        <w:tc>
          <w:tcPr/>
          <w:p>
            <w:pPr>
              <w:pStyle w:val="Compact"/>
              <w:jc w:val="left"/>
            </w:pPr>
            <w:r>
              <w:t xml:space="preserve">Manufacturing (Direct Emissions)</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0.10</w:t>
            </w:r>
          </w:p>
        </w:tc>
      </w:tr>
      <w:tr>
        <w:tc>
          <w:tcPr/>
          <w:p>
            <w:pPr>
              <w:pStyle w:val="Compact"/>
              <w:jc w:val="left"/>
            </w:pPr>
            <w:r>
              <w:t xml:space="preserve">Transportation (Outbound &amp; Last-Mile)</w:t>
            </w:r>
          </w:p>
        </w:tc>
        <w:tc>
          <w:tcPr/>
          <w:p>
            <w:pPr>
              <w:pStyle w:val="Compact"/>
              <w:jc w:val="left"/>
            </w:pPr>
            <w:r>
              <w:t xml:space="preserve">Scope 3 (Downstream)</w:t>
            </w:r>
          </w:p>
        </w:tc>
        <w:tc>
          <w:tcPr/>
          <w:p>
            <w:pPr>
              <w:pStyle w:val="Compact"/>
              <w:jc w:val="left"/>
            </w:pPr>
            <w:r>
              <w:t xml:space="preserve">0.19</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32.50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-0.82</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43.80 kgCO2e</w:t>
            </w:r>
          </w:p>
        </w:tc>
      </w:tr>
    </w:tbl>
    <w:bookmarkEnd w:id="41"/>
    <w:bookmarkStart w:id="42" w:name="ghg-protocol-scope-summary"/>
    <w:p>
      <w:pPr>
        <w:pStyle w:val="Heading3"/>
      </w:pPr>
      <w:r>
        <w:t xml:space="preserve">4.4. GHG Protocol Scope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Total Emissions (kgCO2e/functional unit)</w:t>
            </w:r>
          </w:p>
        </w:tc>
        <w:tc>
          <w:tcPr/>
          <w:p>
            <w:pPr>
              <w:pStyle w:val="Compact"/>
              <w:jc w:val="left"/>
            </w:pPr>
            <w:r>
              <w:t xml:space="preserve">Percentage of Total PCF</w:t>
            </w:r>
          </w:p>
        </w:tc>
      </w:tr>
      <w:tr>
        <w:tc>
          <w:tcPr/>
          <w:p>
            <w:pPr>
              <w:pStyle w:val="Compact"/>
              <w:jc w:val="left"/>
            </w:pPr>
            <w:r>
              <w:t xml:space="preserve">Scope 1</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0.10</w:t>
            </w:r>
          </w:p>
        </w:tc>
        <w:tc>
          <w:tcPr/>
          <w:p>
            <w:pPr>
              <w:pStyle w:val="Compact"/>
              <w:jc w:val="left"/>
            </w:pPr>
            <w:r>
              <w:t xml:space="preserve">0.22%</w:t>
            </w:r>
          </w:p>
        </w:tc>
      </w:tr>
      <w:tr>
        <w:tc>
          <w:tcPr/>
          <w:p>
            <w:pPr>
              <w:pStyle w:val="Compact"/>
              <w:jc w:val="left"/>
            </w:pPr>
            <w:r>
              <w:t xml:space="preserve">Scope 3</w:t>
            </w:r>
          </w:p>
        </w:tc>
        <w:tc>
          <w:tcPr/>
          <w:p>
            <w:pPr>
              <w:pStyle w:val="Compact"/>
              <w:jc w:val="left"/>
            </w:pPr>
            <w:r>
              <w:t xml:space="preserve">43.70</w:t>
            </w:r>
          </w:p>
        </w:tc>
        <w:tc>
          <w:tcPr/>
          <w:p>
            <w:pPr>
              <w:pStyle w:val="Compact"/>
              <w:jc w:val="left"/>
            </w:pPr>
            <w:r>
              <w:t xml:space="preserve">99.78%</w:t>
            </w:r>
          </w:p>
        </w:tc>
      </w:tr>
      <w:tr>
        <w:tc>
          <w:tcPr/>
          <w:p>
            <w:pPr>
              <w:pStyle w:val="Compact"/>
              <w:jc w:val="left"/>
            </w:pPr>
            <w:r>
              <w:rPr>
                <w:bCs/>
                <w:b/>
              </w:rPr>
              <w:t xml:space="preserve">Total PCF</w:t>
            </w:r>
          </w:p>
        </w:tc>
        <w:tc>
          <w:tcPr/>
          <w:p>
            <w:pPr>
              <w:pStyle w:val="Compact"/>
              <w:jc w:val="left"/>
            </w:pPr>
            <w:r>
              <w:rPr>
                <w:bCs/>
                <w:b/>
              </w:rPr>
              <w:t xml:space="preserve">43.80</w:t>
            </w:r>
          </w:p>
        </w:tc>
        <w:tc>
          <w:tcPr/>
          <w:p>
            <w:pPr>
              <w:pStyle w:val="Compact"/>
              <w:jc w:val="left"/>
            </w:pPr>
            <w:r>
              <w:rPr>
                <w:bCs/>
                <w:b/>
              </w:rPr>
              <w:t xml:space="preserve">100.00%</w:t>
            </w:r>
          </w:p>
        </w:tc>
      </w:tr>
    </w:tbl>
    <w:p>
      <w:pPr>
        <w:pStyle w:val="BodyText"/>
      </w:pPr>
      <w:r>
        <w:rPr>
          <w:bCs/>
          <w:b/>
        </w:rPr>
        <w:t xml:space="preserve">Scope 3 Compliance:</w:t>
      </w:r>
      <w:r>
        <w:t xml:space="preserve"> </w:t>
      </w:r>
      <w:r>
        <w:t xml:space="preserve">With comprehensive coverage of upstream materials, transportation, use phase, and end-of-life scenarios, this analysis achieves a Scope 3 coverage of approximately 99.78%, exceeding 95% and aligning with the anticipated 2026 requirements of the GHG Protocol.</w:t>
      </w:r>
    </w:p>
    <w:p>
      <w:pPr>
        <w:pStyle w:val="BodyText"/>
      </w:pPr>
      <w:r>
        <w:rPr>
          <w:bCs/>
          <w:b/>
        </w:rPr>
        <w:t xml:space="preserve">2026 LSR Update:</w:t>
      </w:r>
      <w:r>
        <w:t xml:space="preserve"> </w:t>
      </w:r>
      <w:r>
        <w:t xml:space="preserve">While specific land-use change data was not provided for raw materials, the methodology acknowledges the importance of the Land Sector and Removals (LSR) Standard. Future iterations will integrate specific LSR data as it becomes available to capture land-based emissions and removals accurately.</w:t>
      </w:r>
    </w:p>
    <w:p>
      <w:r>
        <w:pict>
          <v:rect style="width:0;height:1.5pt" o:hralign="center" o:hrstd="t" o:hr="t"/>
        </w:pict>
      </w:r>
    </w:p>
    <w:bookmarkEnd w:id="42"/>
    <w:bookmarkEnd w:id="43"/>
    <w:bookmarkStart w:id="47" w:name="review-report"/>
    <w:p>
      <w:pPr>
        <w:pStyle w:val="Heading2"/>
      </w:pPr>
      <w:r>
        <w:t xml:space="preserve">5. Review &amp; Report</w:t>
      </w:r>
    </w:p>
    <w:bookmarkStart w:id="44" w:name="hotspots-analysis"/>
    <w:p>
      <w:pPr>
        <w:pStyle w:val="Heading3"/>
      </w:pPr>
      <w:r>
        <w:t xml:space="preserve">5.1. Hotspots Analysis</w:t>
      </w:r>
    </w:p>
    <w:p>
      <w:pPr>
        <w:pStyle w:val="FirstParagraph"/>
      </w:pPr>
      <w:r>
        <w:t xml:space="preserve">Based on the calculations, the primary emission hotspots for swsjliwysu are:</w:t>
      </w:r>
    </w:p>
    <w:p>
      <w:pPr>
        <w:numPr>
          <w:ilvl w:val="0"/>
          <w:numId w:val="1015"/>
        </w:numPr>
        <w:pStyle w:val="Compact"/>
      </w:pPr>
      <w:r>
        <w:rPr>
          <w:bCs/>
          <w:b/>
        </w:rPr>
        <w:t xml:space="preserve">Use Phase (Scope 3):</w:t>
      </w:r>
      <w:r>
        <w:t xml:space="preserve"> </w:t>
      </w:r>
      <w:r>
        <w:t xml:space="preserve">Constitutes the largest share of the footprint, highlighting the significant impact of the product\'s energy consumption over its 5-year lifespan.</w:t>
      </w:r>
    </w:p>
    <w:p>
      <w:pPr>
        <w:numPr>
          <w:ilvl w:val="0"/>
          <w:numId w:val="1015"/>
        </w:numPr>
        <w:pStyle w:val="Compact"/>
      </w:pPr>
      <w:r>
        <w:rPr>
          <w:bCs/>
          <w:b/>
        </w:rPr>
        <w:t xml:space="preserve">Raw Material Acquisition &amp; Pre-processing (Scope 3):</w:t>
      </w:r>
      <w:r>
        <w:t xml:space="preserve"> </w:t>
      </w:r>
      <w:r>
        <w:t xml:space="preserve">A substantial contributor due to the embodied energy and emissions in materials like aluminum and electronic components.</w:t>
      </w:r>
    </w:p>
    <w:p>
      <w:pPr>
        <w:numPr>
          <w:ilvl w:val="0"/>
          <w:numId w:val="1015"/>
        </w:numPr>
        <w:pStyle w:val="Compact"/>
      </w:pPr>
      <w:r>
        <w:rPr>
          <w:bCs/>
          <w:b/>
        </w:rPr>
        <w:t xml:space="preserve">Manufacturing (Scope 2):</w:t>
      </w:r>
      <w:r>
        <w:t xml:space="preserve"> </w:t>
      </w:r>
      <w:r>
        <w:t xml:space="preserve">Although 70% renewable energy is used, the remaining grid electricity still contributes to the footprint.</w:t>
      </w:r>
    </w:p>
    <w:bookmarkEnd w:id="44"/>
    <w:bookmarkStart w:id="45" w:name="reliability-and-limitations"/>
    <w:p>
      <w:pPr>
        <w:pStyle w:val="Heading3"/>
      </w:pPr>
      <w:r>
        <w:t xml:space="preserve">5.2. Reliability and Limitations</w:t>
      </w:r>
    </w:p>
    <w:p>
      <w:pPr>
        <w:pStyle w:val="FirstParagraph"/>
      </w:pPr>
      <w:r>
        <w:t xml:space="preserve">The reliability of this report is high, given the adherence to the GHG Protocol and the use of detailed input parameters. However, certain limitations exist:</w:t>
      </w:r>
    </w:p>
    <w:p>
      <w:pPr>
        <w:numPr>
          <w:ilvl w:val="0"/>
          <w:numId w:val="1016"/>
        </w:numPr>
        <w:pStyle w:val="Compact"/>
      </w:pPr>
      <w:r>
        <w:rPr>
          <w:bCs/>
          <w:b/>
        </w:rPr>
        <w:t xml:space="preserve">Illustrative Emission Factors:</w:t>
      </w:r>
      <w:r>
        <w:t xml:space="preserve"> </w:t>
      </w:r>
      <w:r>
        <w:t xml:space="preserve">In a real-world scenario, company-specific or highly localized emission factors would enhance accuracy further. The factors used here are industry averages for illustrative purposes.</w:t>
      </w:r>
    </w:p>
    <w:p>
      <w:pPr>
        <w:numPr>
          <w:ilvl w:val="0"/>
          <w:numId w:val="1016"/>
        </w:numPr>
        <w:pStyle w:val="Compact"/>
      </w:pPr>
      <w:r>
        <w:rPr>
          <w:bCs/>
          <w:b/>
        </w:rPr>
        <w:t xml:space="preserve">Placeholder Data:</w:t>
      </w:r>
      <w:r>
        <w:t xml:space="preserve"> </w:t>
      </w:r>
      <w:r>
        <w:t xml:space="preserve">Several parameters (e.g., transport mode/distance, energy consumption) were provided as placeholders and filled with reasonable estimations for this report. Primary data for these would increase precision.</w:t>
      </w:r>
    </w:p>
    <w:p>
      <w:pPr>
        <w:numPr>
          <w:ilvl w:val="0"/>
          <w:numId w:val="1016"/>
        </w:numPr>
        <w:pStyle w:val="Compact"/>
      </w:pPr>
      <w:r>
        <w:rPr>
          <w:bCs/>
          <w:b/>
        </w:rPr>
        <w:t xml:space="preserve">System Boundary Interpretation:</w:t>
      </w:r>
      <w:r>
        <w:t xml:space="preserve"> </w:t>
      </w:r>
      <w:r>
        <w:t xml:space="preserve">While the primary system boundary was \'factory_gate\', the explicit requirement to include Use Phase and End-of-Life effectively extends the Scope 3 analysis to \'cradle-to-grave\', providing a more holistic view of the product\'s lifecycle impact.</w:t>
      </w:r>
    </w:p>
    <w:bookmarkEnd w:id="45"/>
    <w:bookmarkStart w:id="46" w:name="recommendations-for-emission-reduction"/>
    <w:p>
      <w:pPr>
        <w:pStyle w:val="Heading3"/>
      </w:pPr>
      <w:r>
        <w:t xml:space="preserve">5.3. Recommendations for Emission Reduction</w:t>
      </w:r>
    </w:p>
    <w:p>
      <w:pPr>
        <w:numPr>
          <w:ilvl w:val="0"/>
          <w:numId w:val="1017"/>
        </w:numPr>
        <w:pStyle w:val="Compact"/>
      </w:pPr>
      <w:r>
        <w:rPr>
          <w:bCs/>
          <w:b/>
        </w:rPr>
        <w:t xml:space="preserve">Energy Efficiency in Use:</w:t>
      </w:r>
      <w:r>
        <w:t xml:space="preserve"> </w:t>
      </w:r>
      <w:r>
        <w:t xml:space="preserve">Optimize product design for lower energy consumption during its use phase through hardware or software improvements.</w:t>
      </w:r>
    </w:p>
    <w:p>
      <w:pPr>
        <w:numPr>
          <w:ilvl w:val="0"/>
          <w:numId w:val="1017"/>
        </w:numPr>
        <w:pStyle w:val="Compact"/>
      </w:pPr>
      <w:r>
        <w:rPr>
          <w:bCs/>
          <w:b/>
        </w:rPr>
        <w:t xml:space="preserve">Material Optimization:</w:t>
      </w:r>
      <w:r>
        <w:t xml:space="preserve"> </w:t>
      </w:r>
      <w:r>
        <w:t xml:space="preserve">Explore lower-carbon alternatives for high-impact materials (e.g., recycled aluminum, bio-based plastics) or design for material efficiency.</w:t>
      </w:r>
    </w:p>
    <w:p>
      <w:pPr>
        <w:numPr>
          <w:ilvl w:val="0"/>
          <w:numId w:val="1017"/>
        </w:numPr>
        <w:pStyle w:val="Compact"/>
      </w:pPr>
      <w:r>
        <w:rPr>
          <w:bCs/>
          <w:b/>
        </w:rPr>
        <w:t xml:space="preserve">Renewable Energy Expansion:</w:t>
      </w:r>
      <w:r>
        <w:t xml:space="preserve"> </w:t>
      </w:r>
      <w:r>
        <w:t xml:space="preserve">Increase the percentage of renewable energy used in manufacturing beyond 70% to further reduce Scope 2 emissions.</w:t>
      </w:r>
    </w:p>
    <w:p>
      <w:pPr>
        <w:numPr>
          <w:ilvl w:val="0"/>
          <w:numId w:val="1017"/>
        </w:numPr>
        <w:pStyle w:val="Compact"/>
      </w:pPr>
      <w:r>
        <w:rPr>
          <w:bCs/>
          <w:b/>
        </w:rPr>
        <w:t xml:space="preserve">Circular Economy Initiatives:</w:t>
      </w:r>
      <w:r>
        <w:t xml:space="preserve"> </w:t>
      </w:r>
      <w:r>
        <w:t xml:space="preserve">Strengthen take-back programs and design for enhanced recyclability to maximize end-of-life material recovery and credit generation.</w:t>
      </w:r>
    </w:p>
    <w:p>
      <w:pPr>
        <w:numPr>
          <w:ilvl w:val="0"/>
          <w:numId w:val="1017"/>
        </w:numPr>
        <w:pStyle w:val="Compact"/>
      </w:pPr>
      <w:r>
        <w:rPr>
          <w:bCs/>
          <w:b/>
        </w:rPr>
        <w:t xml:space="preserve">Logistics Optimization:</w:t>
      </w:r>
      <w:r>
        <w:t xml:space="preserve"> </w:t>
      </w:r>
      <w:r>
        <w:t xml:space="preserve">Investigate more efficient transport modes (e.g., rail, sea freight where feasible) and optimize routing to reduce transport distances.</w:t>
      </w:r>
    </w:p>
    <w:p>
      <w:r>
        <w:pict>
          <v:rect style="width:0;height:1.5pt" o:hralign="center" o:hrstd="t" o:hr="t"/>
        </w:pict>
      </w:r>
    </w:p>
    <w:p>
      <w:pPr>
        <w:pStyle w:val="FirstParagraph"/>
      </w:pPr>
      <w:r>
        <w:t xml:space="preserve">Confidential - Internal Use Only | Page X</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swsjliwysu</dc:title>
  <dc:creator/>
  <dc:description>Detailed Product Carbon Footprint (PCF) analysis report for swsjliwysu, performed by Senior Sustainability Consultant kmxvjetfwo, adhering to GHG Protocol standards and 2026 LSR updates.</dc:description>
  <dc:language>en</dc:language>
  <cp:keywords/>
  <dcterms:created xsi:type="dcterms:W3CDTF">2026-07-15T18:37:28Z</dcterms:created>
  <dcterms:modified xsi:type="dcterms:W3CDTF">2026-07-15T18:37:28Z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