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swepyzjtdm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swepyzjtdm</w:t>
      </w:r>
    </w:p>
    <w:p>
      <w:pPr>
        <w:pStyle w:val="BodyText"/>
      </w:pPr>
      <w:r>
        <w:rPr>
          <w:bCs/>
          <w:b/>
        </w:rPr>
        <w:t xml:space="preserve">Company:</w:t>
      </w:r>
      <w:r>
        <w:t xml:space="preserve"> </w:t>
      </w:r>
      <w:r>
        <w:t xml:space="preserve">rsinrlonxh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hnsmgxhnep</w:t>
      </w:r>
    </w:p>
    <w:p>
      <w:pPr>
        <w:pStyle w:val="BodyText"/>
      </w:pPr>
      <w:r>
        <w:t xml:space="preserve">Disclaimer: This report is generated based on available data, provided parameters, and industry standards.</w:t>
      </w:r>
      <w:r>
        <w:t xml:space="preserve"> </w:t>
      </w:r>
      <w:r>
        <w:t xml:space="preserve">The calculations rely on illustrative emission factors where specific data was not provided and should be</w:t>
      </w:r>
      <w:r>
        <w:t xml:space="preserve"> </w:t>
      </w:r>
      <w:r>
        <w:t xml:space="preserve">considered estimates for strategic decision-making. For absolute reporting, primary data collection</w:t>
      </w:r>
      <w:r>
        <w:t xml:space="preserve"> </w:t>
      </w:r>
      <w:r>
        <w:t xml:space="preserve">and verified emission factors are recommended.</w:t>
      </w:r>
    </w:p>
    <w:bookmarkEnd w:id="20"/>
    <w:bookmarkStart w:id="43" w:name="X265a3172af0b38f1fbe9c6008b29bc8d5982fee"/>
    <w:p>
      <w:pPr>
        <w:pStyle w:val="Heading1"/>
      </w:pPr>
      <w:r>
        <w:t xml:space="preserve">Product Carbon Footprint Report: swepyzjtdm</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\'swepyzjtdm\' manufactured by rsinrlonxh,</w:t>
      </w:r>
      <w:r>
        <w:t xml:space="preserve"> </w:t>
      </w:r>
      <w:r>
        <w:t xml:space="preserve">conducted by hnsmgxhnep, Senior Sustainability Consultant. The analysis adheres to the GHG Protocol</w:t>
      </w:r>
      <w:r>
        <w:t xml:space="preserve"> </w:t>
      </w:r>
      <w:r>
        <w:t xml:space="preserve">standards, including the 2026 Land Sector and Removals (LSR) update and ensuring at least 95% Scope 3 coverage.</w:t>
      </w:r>
      <w:r>
        <w:t xml:space="preserve"> </w:t>
      </w:r>
      <w:r>
        <w:t xml:space="preserve">The PCF quantifies the total greenhouse gas emissions associated with the product\'s lifecycle, from raw material</w:t>
      </w:r>
      <w:r>
        <w:t xml:space="preserve"> </w:t>
      </w:r>
      <w:r>
        <w:t xml:space="preserve">extraction to end-of-life, expressed in kilograms of carbon dioxide equivalent (kg CO2e) per functional unit.</w:t>
      </w:r>
      <w:r>
        <w:t xml:space="preserve"> </w:t>
      </w:r>
      <w:r>
        <w:t xml:space="preserve">The findings identify key emission hotspots across the product\'s lifecycle stages, providing actionable insights</w:t>
      </w:r>
      <w:r>
        <w:t xml:space="preserve"> </w:t>
      </w:r>
      <w:r>
        <w:t xml:space="preserve">for rsinrlonxh to enhance its sustainability performance and reduce its environmental impact.</w:t>
      </w:r>
    </w:p>
    <w:p>
      <w:r>
        <w:pict>
          <v:rect style="width:0;height:1.5pt" o:hralign="center" o:hrstd="t" o:hr="t"/>
        </w:pict>
      </w:r>
    </w:p>
    <w:bookmarkEnd w:id="21"/>
    <w:bookmarkStart w:id="30" w:name="methodology-and-scope-definition"/>
    <w:p>
      <w:pPr>
        <w:pStyle w:val="Heading2"/>
      </w:pPr>
      <w:r>
        <w:t xml:space="preserve">1. Methodology and Scope Definition</w:t>
      </w:r>
    </w:p>
    <w:p>
      <w:pPr>
        <w:pStyle w:val="FirstParagraph"/>
      </w:pPr>
      <w:r>
        <w:t xml:space="preserve">The Product Carbon Footprint (PCF) analysis for \'swepyzjtdm\' follows a structured five-step methodology in line with the GHG Protocol Product Standard.</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swepyzjtdm.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Factory-gate, expanded to include full lifecycle. This analysis includes all lifecycle stages from raw material acquisition, manufacturing, transport to the factory gate, manufacturing processes, and extends through the use phase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Product Standard. This includes categorizing emissions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Environmental impacts are allocated to the functional unit based on mass and economic allocation where co-products or by-products occur. For recycled content, the "cut-off" approach is generally applied where the burden of recycling is borne by the system that produces the recycled material.</w:t>
      </w:r>
    </w:p>
    <w:bookmarkEnd w:id="22"/>
    <w:bookmarkStart w:id="23" w:name="map-lifecycle-lci-inventory-stages"/>
    <w:p>
      <w:pPr>
        <w:pStyle w:val="Heading3"/>
      </w:pPr>
      <w:r>
        <w:t xml:space="preserve">1.2. Map Lifecycle (LCI Inventory Stages)</w:t>
      </w:r>
    </w:p>
    <w:p>
      <w:pPr>
        <w:pStyle w:val="FirstParagraph"/>
      </w:pPr>
      <w:r>
        <w:t xml:space="preserve">The lifecycle of \'swepyzjtdm\' has been mapped across the following stages, facilitating the collection of relevant</w:t>
      </w:r>
      <w:r>
        <w:t xml:space="preserve"> </w:t>
      </w:r>
      <w:r>
        <w:t xml:space="preserve">Life Cycle Inventory (LCI) data.</w:t>
      </w:r>
    </w:p>
    <w:p>
      <w:pPr>
        <w:numPr>
          <w:ilvl w:val="0"/>
          <w:numId w:val="1003"/>
        </w:numPr>
        <w:pStyle w:val="Compact"/>
      </w:pPr>
      <w:r>
        <w:rPr>
          <w:bCs/>
          <w:b/>
        </w:rPr>
        <w:t xml:space="preserve">Raw Material Acquisition &amp; Pre-processing (Upstream - Scope 3):</w:t>
      </w:r>
      <w:r>
        <w:t xml:space="preserve"> </w:t>
      </w:r>
      <w:r>
        <w:t xml:space="preserve">Extraction and processing of all constituent materials.</w:t>
      </w:r>
    </w:p>
    <w:p>
      <w:pPr>
        <w:numPr>
          <w:ilvl w:val="0"/>
          <w:numId w:val="1003"/>
        </w:numPr>
        <w:pStyle w:val="Compact"/>
      </w:pPr>
      <w:r>
        <w:rPr>
          <w:bCs/>
          <w:b/>
        </w:rPr>
        <w:t xml:space="preserve">Manufacturing (Core - Scope 1 &amp; 2):</w:t>
      </w:r>
      <w:r>
        <w:t xml:space="preserve"> </w:t>
      </w:r>
      <w:r>
        <w:t xml:space="preserve">Energy consumption, process emissions, and waste generation at rsinrlonxh\'s production facility.</w:t>
      </w:r>
    </w:p>
    <w:p>
      <w:pPr>
        <w:numPr>
          <w:ilvl w:val="0"/>
          <w:numId w:val="1003"/>
        </w:numPr>
        <w:pStyle w:val="Compact"/>
      </w:pPr>
      <w:r>
        <w:rPr>
          <w:bCs/>
          <w:b/>
        </w:rPr>
        <w:t xml:space="preserve">Transportation (Upstream &amp; Downstream - Scope 3):</w:t>
      </w:r>
      <w:r>
        <w:t xml:space="preserve"> </w:t>
      </w:r>
      <w:r>
        <w:t xml:space="preserve">Transport of raw materials to the factory, and finished product distribution to the market and last-mile delivery.</w:t>
      </w:r>
    </w:p>
    <w:p>
      <w:pPr>
        <w:numPr>
          <w:ilvl w:val="0"/>
          <w:numId w:val="1003"/>
        </w:numPr>
        <w:pStyle w:val="Compact"/>
      </w:pPr>
      <w:r>
        <w:rPr>
          <w:bCs/>
          <w:b/>
        </w:rPr>
        <w:t xml:space="preserve">Use Phase (Downstream - Scope 3):</w:t>
      </w:r>
      <w:r>
        <w:t xml:space="preserve"> </w:t>
      </w:r>
      <w:r>
        <w:t xml:space="preserve">Energy consumption during the product\'s active lifespan.</w:t>
      </w:r>
    </w:p>
    <w:p>
      <w:pPr>
        <w:numPr>
          <w:ilvl w:val="0"/>
          <w:numId w:val="1003"/>
        </w:numPr>
        <w:pStyle w:val="Compact"/>
      </w:pPr>
      <w:r>
        <w:rPr>
          <w:bCs/>
          <w:b/>
        </w:rPr>
        <w:t xml:space="preserve">End-of-Life (Downstream - Scope 3):</w:t>
      </w:r>
      <w:r>
        <w:t xml:space="preserve"> </w:t>
      </w:r>
      <w:r>
        <w:t xml:space="preserve">Disposal, recycling, or recovery processes for the product.</w:t>
      </w:r>
    </w:p>
    <w:bookmarkEnd w:id="23"/>
    <w:bookmarkStart w:id="29" w:name="Xb57f50a89bf1f3f1837369be949d9d60d6c1272"/>
    <w:p>
      <w:pPr>
        <w:pStyle w:val="Heading3"/>
      </w:pPr>
      <w:r>
        <w:t xml:space="preserve">1.3. Collect Data (Primary/Secondary Data Points)</w:t>
      </w:r>
    </w:p>
    <w:p>
      <w:pPr>
        <w:pStyle w:val="FirstParagraph"/>
      </w:pPr>
      <w:r>
        <w:t xml:space="preserve">Data collection involved leveraging both primary data provided by rsinrlonxh and secondary, industry-standard data</w:t>
      </w:r>
      <w:r>
        <w:t xml:space="preserve"> </w:t>
      </w:r>
      <w:r>
        <w:t xml:space="preserve">for processes where primary data was unavailable or to supplement the analysis.</w:t>
      </w:r>
    </w:p>
    <w:bookmarkStart w:id="24" w:name="X35d4ed79f83fa7933b42c756514078f4de35d27"/>
    <w:p>
      <w:pPr>
        <w:pStyle w:val="Heading4"/>
      </w:pPr>
      <w:r>
        <w:t xml:space="preserve">Detailed Bill of Materials (BOM) for gxoqnvhj</w:t>
      </w:r>
    </w:p>
    <w:p>
      <w:pPr>
        <w:pStyle w:val="FirstParagraph"/>
      </w:pPr>
      <w:r>
        <w:t xml:space="preserve">The following detailed Bill of Materials (BOM) was used for high-accuracy material impact calculation, utilizing the \'Total Carbon\' values provided for each item.</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3.5 kg</w:t>
            </w:r>
          </w:p>
        </w:tc>
        <w:tc>
          <w:tcPr/>
          <w:p>
            <w:pPr>
              <w:pStyle w:val="Compact"/>
              <w:jc w:val="left"/>
            </w:pPr>
            <w:r>
              <w:t xml:space="preserve">2.2</w:t>
            </w:r>
          </w:p>
        </w:tc>
        <w:tc>
          <w:tcPr/>
          <w:p>
            <w:pPr>
              <w:pStyle w:val="Compact"/>
              <w:jc w:val="left"/>
            </w:pPr>
            <w:r>
              <w:t xml:space="preserve">7.70</w:t>
            </w:r>
          </w:p>
        </w:tc>
      </w:tr>
      <w:tr>
        <w:tc>
          <w:tcPr/>
          <w:p>
            <w:pPr>
              <w:pStyle w:val="Compact"/>
              <w:jc w:val="left"/>
            </w:pPr>
            <w:r>
              <w:t xml:space="preserve">M2</w:t>
            </w:r>
          </w:p>
        </w:tc>
        <w:tc>
          <w:tcPr/>
          <w:p>
            <w:pPr>
              <w:pStyle w:val="Compact"/>
              <w:jc w:val="left"/>
            </w:pPr>
            <w:r>
              <w:t xml:space="preserve">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 kg</w:t>
            </w:r>
          </w:p>
        </w:tc>
        <w:tc>
          <w:tcPr/>
          <w:p>
            <w:pPr>
              <w:pStyle w:val="Compact"/>
              <w:jc w:val="left"/>
            </w:pPr>
            <w:r>
              <w:t xml:space="preserve">3.0</w:t>
            </w:r>
          </w:p>
        </w:tc>
        <w:tc>
          <w:tcPr/>
          <w:p>
            <w:pPr>
              <w:pStyle w:val="Compact"/>
              <w:jc w:val="left"/>
            </w:pPr>
            <w:r>
              <w:t xml:space="preserve">3.60</w:t>
            </w:r>
          </w:p>
        </w:tc>
      </w:tr>
      <w:tr>
        <w:tc>
          <w:tcPr/>
          <w:p>
            <w:pPr>
              <w:pStyle w:val="Compact"/>
              <w:jc w:val="left"/>
            </w:pPr>
            <w:r>
              <w:t xml:space="preserve">M3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45.0</w:t>
            </w:r>
          </w:p>
        </w:tc>
        <w:tc>
          <w:tcPr/>
          <w:p>
            <w:pPr>
              <w:pStyle w:val="Compact"/>
              <w:jc w:val="left"/>
            </w:pPr>
            <w:r>
              <w:t xml:space="preserve">2.25</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0.4 kg</w:t>
            </w:r>
          </w:p>
        </w:tc>
        <w:tc>
          <w:tcPr/>
          <w:p>
            <w:pPr>
              <w:pStyle w:val="Compact"/>
              <w:jc w:val="left"/>
            </w:pPr>
            <w:r>
              <w:t xml:space="preserve">1.0</w:t>
            </w:r>
          </w:p>
        </w:tc>
        <w:tc>
          <w:tcPr/>
          <w:p>
            <w:pPr>
              <w:pStyle w:val="Compact"/>
              <w:jc w:val="left"/>
            </w:pPr>
            <w:r>
              <w:t xml:space="preserve">0.40</w:t>
            </w:r>
          </w:p>
        </w:tc>
      </w:tr>
      <w:tr>
        <w:tc>
          <w:tcPr>
            <w:gridSpan w:val="6"/>
          </w:tcPr>
          <w:p>
            <w:pPr>
              <w:pStyle w:val="Compact"/>
              <w:jc w:val="right"/>
            </w:pPr>
            <w:r>
              <w:rPr>
                <w:bCs/>
                <w:b/>
              </w:rPr>
              <w:t xml:space="preserve">Total Material Carbon:</w:t>
            </w:r>
          </w:p>
        </w:tc>
        <w:tc>
          <w:tcPr/>
          <w:p>
            <w:pPr>
              <w:pStyle w:val="Compact"/>
              <w:jc w:val="left"/>
            </w:pPr>
            <w:r>
              <w:rPr>
                <w:bCs/>
                <w:b/>
              </w:rPr>
              <w:t xml:space="preserve">13.95 kg CO2e</w:t>
            </w:r>
          </w:p>
        </w:tc>
      </w:tr>
    </w:tbl>
    <w:bookmarkEnd w:id="24"/>
    <w:bookmarkStart w:id="25" w:name="energy-inputs-for-production"/>
    <w:p>
      <w:pPr>
        <w:pStyle w:val="Heading4"/>
      </w:pPr>
      <w:r>
        <w:t xml:space="preserve">Energy Inputs for Production</w:t>
      </w:r>
    </w:p>
    <w:p>
      <w:pPr>
        <w:numPr>
          <w:ilvl w:val="0"/>
          <w:numId w:val="1004"/>
        </w:numPr>
        <w:pStyle w:val="Compact"/>
      </w:pPr>
      <w:r>
        <w:rPr>
          <w:bCs/>
          <w:b/>
        </w:rPr>
        <w:t xml:space="preserve">Energy Intensity (kWh/unit):</w:t>
      </w:r>
      <w:r>
        <w:t xml:space="preserve"> </w:t>
      </w:r>
      <w:r>
        <w:t xml:space="preserve">15 kWh/unit (parameter: ehotnzulds)</w:t>
      </w:r>
    </w:p>
    <w:p>
      <w:pPr>
        <w:numPr>
          <w:ilvl w:val="0"/>
          <w:numId w:val="1004"/>
        </w:numPr>
        <w:pStyle w:val="Compact"/>
      </w:pPr>
      <w:r>
        <w:rPr>
          <w:bCs/>
          <w:b/>
        </w:rPr>
        <w:t xml:space="preserve">Renewable Energy Usage:</w:t>
      </w:r>
      <w:r>
        <w:t xml:space="preserve"> </w:t>
      </w:r>
      <w:r>
        <w:t xml:space="preserve">60% (parameter: sgiwrwdmes)</w:t>
      </w:r>
    </w:p>
    <w:p>
      <w:pPr>
        <w:numPr>
          <w:ilvl w:val="0"/>
          <w:numId w:val="1004"/>
        </w:numPr>
        <w:pStyle w:val="Compact"/>
      </w:pPr>
      <w:r>
        <w:rPr>
          <w:bCs/>
          <w:b/>
        </w:rPr>
        <w:t xml:space="preserve">Non-renewable energy:</w:t>
      </w:r>
      <w:r>
        <w:t xml:space="preserve"> </w:t>
      </w:r>
      <w:r>
        <w:t xml:space="preserve">6 kWh/unit (40% of 15 kWh)</w:t>
      </w:r>
    </w:p>
    <w:p>
      <w:pPr>
        <w:numPr>
          <w:ilvl w:val="0"/>
          <w:numId w:val="1004"/>
        </w:numPr>
        <w:pStyle w:val="Compact"/>
      </w:pPr>
      <w:r>
        <w:rPr>
          <w:bCs/>
          <w:b/>
        </w:rPr>
        <w:t xml:space="preserve">Renewable energy:</w:t>
      </w:r>
      <w:r>
        <w:t xml:space="preserve"> </w:t>
      </w:r>
      <w:r>
        <w:t xml:space="preserve">9 kWh/unit (60% of 15 kWh)</w:t>
      </w:r>
    </w:p>
    <w:p>
      <w:pPr>
        <w:numPr>
          <w:ilvl w:val="0"/>
          <w:numId w:val="1004"/>
        </w:numPr>
        <w:pStyle w:val="Compact"/>
      </w:pPr>
      <w:r>
        <w:rPr>
          <w:bCs/>
          <w:b/>
        </w:rPr>
        <w:t xml:space="preserve">Illustrative Emission Factor for China Grid Electricity:</w:t>
      </w:r>
      <w:r>
        <w:t xml:space="preserve"> </w:t>
      </w:r>
      <w:r>
        <w:t xml:space="preserve">0.6 kg CO2e/kWh (derived from industry averages)</w:t>
      </w:r>
    </w:p>
    <w:p>
      <w:pPr>
        <w:numPr>
          <w:ilvl w:val="0"/>
          <w:numId w:val="1004"/>
        </w:numPr>
        <w:pStyle w:val="Compact"/>
      </w:pPr>
      <w:r>
        <w:rPr>
          <w:bCs/>
          <w:b/>
        </w:rPr>
        <w:t xml:space="preserve">Illustrative Emission Factor for Renewable Electricity:</w:t>
      </w:r>
      <w:r>
        <w:t xml:space="preserve"> </w:t>
      </w:r>
      <w:r>
        <w:t xml:space="preserve">0.01 kg CO2e/kWh (residual emissions)</w:t>
      </w:r>
    </w:p>
    <w:bookmarkEnd w:id="25"/>
    <w:bookmarkStart w:id="26" w:name="logistics-data"/>
    <w:p>
      <w:pPr>
        <w:pStyle w:val="Heading4"/>
      </w:pPr>
      <w:r>
        <w:t xml:space="preserve">Logistics Data</w:t>
      </w:r>
    </w:p>
    <w:p>
      <w:pPr>
        <w:numPr>
          <w:ilvl w:val="0"/>
          <w:numId w:val="1005"/>
        </w:numPr>
        <w:pStyle w:val="Compact"/>
      </w:pPr>
      <w:r>
        <w:rPr>
          <w:bCs/>
          <w:b/>
        </w:rPr>
        <w:t xml:space="preserve">Total Product Weight:</w:t>
      </w:r>
      <w:r>
        <w:t xml:space="preserve"> </w:t>
      </w:r>
      <w:r>
        <w:t xml:space="preserve">5.15 kg (calculated from BOM)</w:t>
      </w:r>
    </w:p>
    <w:p>
      <w:pPr>
        <w:numPr>
          <w:ilvl w:val="0"/>
          <w:numId w:val="1005"/>
        </w:numPr>
        <w:pStyle w:val="Compact"/>
      </w:pPr>
      <w:r>
        <w:rPr>
          <w:bCs/>
          <w:b/>
        </w:rPr>
        <w:t xml:space="preserve">Transport Mode (Main):</w:t>
      </w:r>
      <w:r>
        <w:t xml:space="preserve"> </w:t>
      </w:r>
      <w:r>
        <w:t xml:space="preserve">Ocean Freight (Container Ship) and Road Freight (Heavy Goods Vehicle) (parameter: Select Mode)</w:t>
      </w:r>
    </w:p>
    <w:p>
      <w:pPr>
        <w:numPr>
          <w:ilvl w:val="0"/>
          <w:numId w:val="1005"/>
        </w:numPr>
        <w:pStyle w:val="Compact"/>
      </w:pPr>
      <w:r>
        <w:rPr>
          <w:bCs/>
          <w:b/>
        </w:rPr>
        <w:t xml:space="preserve">Transport Distance (Main):</w:t>
      </w:r>
      <w:r>
        <w:t xml:space="preserve"> </w:t>
      </w:r>
      <w:r>
        <w:t xml:space="preserve">15,000 km Ocean, 500 km Road (parameter: oxpzvlnrgp)</w:t>
      </w:r>
    </w:p>
    <w:p>
      <w:pPr>
        <w:numPr>
          <w:ilvl w:val="0"/>
          <w:numId w:val="1005"/>
        </w:numPr>
        <w:pStyle w:val="Compact"/>
      </w:pPr>
      <w:r>
        <w:rPr>
          <w:bCs/>
          <w:b/>
        </w:rPr>
        <w:t xml:space="preserve">Last-Mile Delivery Channel:</w:t>
      </w:r>
      <w:r>
        <w:t xml:space="preserve"> </w:t>
      </w:r>
      <w:r>
        <w:t xml:space="preserve">Small Parcel Delivery Van (parameter: Delivery Type)</w:t>
      </w:r>
    </w:p>
    <w:p>
      <w:pPr>
        <w:numPr>
          <w:ilvl w:val="0"/>
          <w:numId w:val="1005"/>
        </w:numPr>
        <w:pStyle w:val="Compact"/>
      </w:pPr>
      <w:r>
        <w:rPr>
          <w:bCs/>
          <w:b/>
        </w:rPr>
        <w:t xml:space="preserve">Illustrative Emission Factor for Ocean Freight:</w:t>
      </w:r>
      <w:r>
        <w:t xml:space="preserve"> </w:t>
      </w:r>
      <w:r>
        <w:t xml:space="preserve">0.010 kg CO2e/tonne-km</w:t>
      </w:r>
    </w:p>
    <w:p>
      <w:pPr>
        <w:numPr>
          <w:ilvl w:val="0"/>
          <w:numId w:val="1005"/>
        </w:numPr>
        <w:pStyle w:val="Compact"/>
      </w:pPr>
      <w:r>
        <w:rPr>
          <w:bCs/>
          <w:b/>
        </w:rPr>
        <w:t xml:space="preserve">Illustrative Emission Factor for Road Freight (HGV):</w:t>
      </w:r>
      <w:r>
        <w:t xml:space="preserve"> </w:t>
      </w:r>
      <w:r>
        <w:t xml:space="preserve">0.090 kg CO2e/tonne-km</w:t>
      </w:r>
    </w:p>
    <w:p>
      <w:pPr>
        <w:numPr>
          <w:ilvl w:val="0"/>
          <w:numId w:val="1005"/>
        </w:numPr>
        <w:pStyle w:val="Compact"/>
      </w:pPr>
      <w:r>
        <w:rPr>
          <w:bCs/>
          <w:b/>
        </w:rPr>
        <w:t xml:space="preserve">Illustrative Emission Factor for Last-Mile Delivery Van:</w:t>
      </w:r>
      <w:r>
        <w:t xml:space="preserve"> </w:t>
      </w:r>
      <w:r>
        <w:t xml:space="preserve">0.5 kg CO2e/unit (assumed average per unit for shared delivery route)</w:t>
      </w:r>
    </w:p>
    <w:bookmarkEnd w:id="26"/>
    <w:bookmarkStart w:id="27"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7 years (parameter: pdrpfdwker)</w:t>
      </w:r>
    </w:p>
    <w:p>
      <w:pPr>
        <w:numPr>
          <w:ilvl w:val="0"/>
          <w:numId w:val="1006"/>
        </w:numPr>
        <w:pStyle w:val="Compact"/>
      </w:pPr>
      <w:r>
        <w:rPr>
          <w:bCs/>
          <w:b/>
        </w:rPr>
        <w:t xml:space="preserve">Energy Consumption in Use:</w:t>
      </w:r>
      <w:r>
        <w:t xml:space="preserve"> </w:t>
      </w:r>
      <w:r>
        <w:t xml:space="preserve">25 kWh/year (parameter: vzduwutuwe)</w:t>
      </w:r>
    </w:p>
    <w:p>
      <w:pPr>
        <w:numPr>
          <w:ilvl w:val="0"/>
          <w:numId w:val="1006"/>
        </w:numPr>
        <w:pStyle w:val="Compact"/>
      </w:pPr>
      <w:r>
        <w:rPr>
          <w:bCs/>
          <w:b/>
        </w:rPr>
        <w:t xml:space="preserve">Illustrative Emission Factor for EU Average Grid Electricity (Use Phase):</w:t>
      </w:r>
      <w:r>
        <w:t xml:space="preserve"> </w:t>
      </w:r>
      <w:r>
        <w:t xml:space="preserve">0.25 kg CO2e/kWh (considering Europe-focused supply chain focus)</w:t>
      </w:r>
    </w:p>
    <w:bookmarkEnd w:id="27"/>
    <w:bookmarkStart w:id="28"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85% (parameter: zudwnzqwiz)</w:t>
      </w:r>
    </w:p>
    <w:p>
      <w:pPr>
        <w:numPr>
          <w:ilvl w:val="0"/>
          <w:numId w:val="1007"/>
        </w:numPr>
        <w:pStyle w:val="Compact"/>
      </w:pPr>
      <w:r>
        <w:rPr>
          <w:bCs/>
          <w:b/>
        </w:rPr>
        <w:t xml:space="preserve">Circular/Take-back Programs:</w:t>
      </w:r>
      <w:r>
        <w:t xml:space="preserve"> </w:t>
      </w:r>
      <w:r>
        <w:t xml:space="preserve">Yes, Product Take-back and Refurbishment Program (parameter: xhiozedjvm)</w:t>
      </w:r>
    </w:p>
    <w:p>
      <w:pPr>
        <w:numPr>
          <w:ilvl w:val="0"/>
          <w:numId w:val="1007"/>
        </w:numPr>
        <w:pStyle w:val="Compact"/>
      </w:pPr>
      <w:r>
        <w:rPr>
          <w:bCs/>
          <w:b/>
        </w:rPr>
        <w:t xml:space="preserve">Illustrative Recycling Credit (average):</w:t>
      </w:r>
      <w:r>
        <w:t xml:space="preserve"> </w:t>
      </w:r>
      <w:r>
        <w:t xml:space="preserve">-1.0 kg CO2e/kg (for mixed materials, positive impact)</w:t>
      </w:r>
    </w:p>
    <w:p>
      <w:pPr>
        <w:numPr>
          <w:ilvl w:val="0"/>
          <w:numId w:val="1007"/>
        </w:numPr>
        <w:pStyle w:val="Compact"/>
      </w:pPr>
      <w:r>
        <w:rPr>
          <w:bCs/>
          <w:b/>
        </w:rPr>
        <w:t xml:space="preserve">Illustrative Disposal (Landfill) Emission Factor:</w:t>
      </w:r>
      <w:r>
        <w:t xml:space="preserve"> </w:t>
      </w:r>
      <w:r>
        <w:t xml:space="preserve">0.1 kg CO2e/kg</w:t>
      </w:r>
    </w:p>
    <w:p>
      <w:r>
        <w:pict>
          <v:rect style="width:0;height:1.5pt" o:hralign="center" o:hrstd="t" o:hr="t"/>
        </w:pict>
      </w:r>
    </w:p>
    <w:bookmarkEnd w:id="28"/>
    <w:bookmarkEnd w:id="29"/>
    <w:bookmarkEnd w:id="30"/>
    <w:bookmarkStart w:id="37" w:name="X2c62247db19834934c44c209ad423fe06ba5c64"/>
    <w:p>
      <w:pPr>
        <w:pStyle w:val="Heading2"/>
      </w:pPr>
      <w:r>
        <w:t xml:space="preserve">2. Calculation of Emissions (Activity * Emission Factor = CO2e)</w:t>
      </w:r>
    </w:p>
    <w:p>
      <w:pPr>
        <w:pStyle w:val="FirstParagraph"/>
      </w:pPr>
      <w:r>
        <w:t xml:space="preserve">Emissions were calculated for each lifecycle stage, adhering to the GHG Protocol\'s categorization into Scope 1, 2, and 3. Industry-standard emission factors (e.g., from Ecoinvent/DEFRA equivalents) were utilized for processes where primary data wasn\'t available, or as a basis for the illustrative values presented.</w:t>
      </w:r>
    </w:p>
    <w:bookmarkStart w:id="31" w:name="scope-1-emissions-direct-emissions"/>
    <w:p>
      <w:pPr>
        <w:pStyle w:val="Heading3"/>
      </w:pPr>
      <w:r>
        <w:t xml:space="preserve">2.1. Scope 1 Emissions (Direct Emissions)</w:t>
      </w:r>
    </w:p>
    <w:p>
      <w:pPr>
        <w:pStyle w:val="FirstParagraph"/>
      </w:pPr>
      <w:r>
        <w:t xml:space="preserve">For this product-level PCF, specific direct process emissions from chemical reactions or on-site fuel combustion (Scope 1) at rsinrlonxh\'s facility, if any, were not explicitly provided. Therefore, direct process emissions are assumed to be minimal or zero at the product level. Any direct energy consumption is captured under Scope 2 if purchased electricity, or included in Scope 3 if related to materials production.</w:t>
      </w:r>
    </w:p>
    <w:bookmarkEnd w:id="31"/>
    <w:bookmarkStart w:id="32" w:name="scope-2-emissions-purchased-energy"/>
    <w:p>
      <w:pPr>
        <w:pStyle w:val="Heading3"/>
      </w:pPr>
      <w:r>
        <w:t xml:space="preserve">2.2. Scope 2 Emissions (Purchased Energy)</w:t>
      </w:r>
    </w:p>
    <w:p>
      <w:pPr>
        <w:pStyle w:val="FirstParagraph"/>
      </w:pPr>
      <w:r>
        <w:t xml:space="preserve">Emissions from purchased electricity consumed during the manufacturing of \'swepyzjtdm\' in China.</w:t>
      </w:r>
    </w:p>
    <w:p>
      <w:pPr>
        <w:numPr>
          <w:ilvl w:val="0"/>
          <w:numId w:val="1008"/>
        </w:numPr>
        <w:pStyle w:val="Compact"/>
      </w:pPr>
      <w:r>
        <w:rPr>
          <w:bCs/>
          <w:b/>
        </w:rPr>
        <w:t xml:space="preserve">Total Energy Consumption (Production):</w:t>
      </w:r>
      <w:r>
        <w:t xml:space="preserve"> </w:t>
      </w:r>
      <w:r>
        <w:t xml:space="preserve">15 kWh/unit</w:t>
      </w:r>
    </w:p>
    <w:p>
      <w:pPr>
        <w:numPr>
          <w:ilvl w:val="0"/>
          <w:numId w:val="1008"/>
        </w:numPr>
        <w:pStyle w:val="Compact"/>
      </w:pPr>
      <w:r>
        <w:rPr>
          <w:bCs/>
          <w:b/>
        </w:rPr>
        <w:t xml:space="preserve">Non-renewable Electricity:</w:t>
      </w:r>
      <w:r>
        <w:t xml:space="preserve"> </w:t>
      </w:r>
      <w:r>
        <w:t xml:space="preserve">15 kWh * (1 - 0.60) = 6 kWh</w:t>
      </w:r>
    </w:p>
    <w:p>
      <w:pPr>
        <w:numPr>
          <w:ilvl w:val="0"/>
          <w:numId w:val="1008"/>
        </w:numPr>
        <w:pStyle w:val="Compact"/>
      </w:pPr>
      <w:r>
        <w:rPr>
          <w:bCs/>
          <w:b/>
        </w:rPr>
        <w:t xml:space="preserve">Renewable Electricity:</w:t>
      </w:r>
      <w:r>
        <w:t xml:space="preserve"> </w:t>
      </w:r>
      <w:r>
        <w:t xml:space="preserve">15 kWh * 0.60 = 9 kWh</w:t>
      </w:r>
    </w:p>
    <w:p>
      <w:pPr>
        <w:numPr>
          <w:ilvl w:val="0"/>
          <w:numId w:val="1008"/>
        </w:numPr>
        <w:pStyle w:val="Compact"/>
      </w:pPr>
      <w:r>
        <w:rPr>
          <w:bCs/>
          <w:b/>
        </w:rPr>
        <w:t xml:space="preserve">Emissions from Non-renewable Electricity:</w:t>
      </w:r>
      <w:r>
        <w:t xml:space="preserve"> </w:t>
      </w:r>
      <w:r>
        <w:t xml:space="preserve">6 kWh * 0.6 kg CO2e/kWh = 3.60 kg CO2e</w:t>
      </w:r>
    </w:p>
    <w:p>
      <w:pPr>
        <w:numPr>
          <w:ilvl w:val="0"/>
          <w:numId w:val="1008"/>
        </w:numPr>
        <w:pStyle w:val="Compact"/>
      </w:pPr>
      <w:r>
        <w:rPr>
          <w:bCs/>
          <w:b/>
        </w:rPr>
        <w:t xml:space="preserve">Emissions from Renewable Electricity:</w:t>
      </w:r>
      <w:r>
        <w:t xml:space="preserve"> </w:t>
      </w:r>
      <w:r>
        <w:t xml:space="preserve">9 kWh * 0.01 kg CO2e/kWh = 0.09 kg CO2e</w:t>
      </w:r>
    </w:p>
    <w:p>
      <w:pPr>
        <w:pStyle w:val="FirstParagraph"/>
      </w:pPr>
      <w:r>
        <w:rPr>
          <w:bCs/>
          <w:b/>
        </w:rPr>
        <w:t xml:space="preserve">Total Scope 2 Emissions: 3.69 kg CO2e</w:t>
      </w:r>
    </w:p>
    <w:bookmarkEnd w:id="32"/>
    <w:bookmarkStart w:id="35" w:name="scope-3-emissions-value-chain"/>
    <w:p>
      <w:pPr>
        <w:pStyle w:val="Heading3"/>
      </w:pPr>
      <w:r>
        <w:t xml:space="preserve">2.3. Scope 3 Emissions (Value Chain)</w:t>
      </w:r>
    </w:p>
    <w:p>
      <w:pPr>
        <w:pStyle w:val="FirstParagraph"/>
      </w:pPr>
      <w:r>
        <w:t xml:space="preserve">Scope 3 emissions represent the most significant portion of the PCF and encompass all other indirect emissions</w:t>
      </w:r>
      <w:r>
        <w:t xml:space="preserve"> </w:t>
      </w:r>
      <w:r>
        <w:t xml:space="preserve">from the product\'s value chain. This analysis ensures at least 95% coverage for Scope 3 reporting as per 2026 requirements.</w:t>
      </w:r>
    </w:p>
    <w:bookmarkStart w:id="33" w:name="X1432ccb2b526862bb41d81e5a7785547bfe0cc6"/>
    <w:p>
      <w:pPr>
        <w:pStyle w:val="Heading4"/>
      </w:pPr>
      <w:r>
        <w:t xml:space="preserve">2.3.1. Upstream Emissions (from raw material acquisition to factory gate transport)</w:t>
      </w:r>
    </w:p>
    <w:p>
      <w:pPr>
        <w:numPr>
          <w:ilvl w:val="0"/>
          <w:numId w:val="1009"/>
        </w:numPr>
      </w:pPr>
      <w:r>
        <w:rPr>
          <w:bCs/>
          <w:b/>
        </w:rPr>
        <w:t xml:space="preserve">Raw Material Acquisition &amp; Pre-processing:</w:t>
      </w:r>
    </w:p>
    <w:p>
      <w:pPr>
        <w:numPr>
          <w:ilvl w:val="0"/>
          <w:numId w:val="1000"/>
        </w:numPr>
      </w:pPr>
      <w:r>
        <w:t xml:space="preserve">Based on the provided BOM data (gxoqnvhj), the total carbon impact from material production is:</w:t>
      </w:r>
    </w:p>
    <w:p>
      <w:pPr>
        <w:numPr>
          <w:ilvl w:val="0"/>
          <w:numId w:val="1000"/>
        </w:numPr>
      </w:pPr>
      <w:r>
        <w:rPr>
          <w:bCs/>
          <w:b/>
        </w:rPr>
        <w:t xml:space="preserve">Total Materials Carbon: 13.95 kg CO2e</w:t>
      </w:r>
    </w:p>
    <w:p>
      <w:pPr>
        <w:numPr>
          <w:ilvl w:val="0"/>
          <w:numId w:val="1009"/>
        </w:numPr>
      </w:pPr>
      <w:r>
        <w:rPr>
          <w:bCs/>
          <w:b/>
        </w:rPr>
        <w:t xml:space="preserve">Transportation (to factory gate):</w:t>
      </w:r>
    </w:p>
    <w:p>
      <w:pPr>
        <w:numPr>
          <w:ilvl w:val="0"/>
          <w:numId w:val="1000"/>
        </w:numPr>
      </w:pPr>
      <w:r>
        <w:t xml:space="preserve">Emissions from transporting raw materials to the production facility.</w:t>
      </w:r>
    </w:p>
    <w:p>
      <w:pPr>
        <w:numPr>
          <w:ilvl w:val="1"/>
          <w:numId w:val="1010"/>
        </w:numPr>
        <w:pStyle w:val="Compact"/>
      </w:pPr>
      <w:r>
        <w:rPr>
          <w:bCs/>
          <w:b/>
        </w:rPr>
        <w:t xml:space="preserve">Ocean Freight Emissions:</w:t>
      </w:r>
      <w:r>
        <w:t xml:space="preserve"> </w:t>
      </w:r>
      <w:r>
        <w:t xml:space="preserve">(0.00515 tonnes * 15,000 km) * 0.010 kg CO2e/tkm = 0.77 kg CO2e</w:t>
      </w:r>
    </w:p>
    <w:p>
      <w:pPr>
        <w:numPr>
          <w:ilvl w:val="1"/>
          <w:numId w:val="1010"/>
        </w:numPr>
        <w:pStyle w:val="Compact"/>
      </w:pPr>
      <w:r>
        <w:rPr>
          <w:bCs/>
          <w:b/>
        </w:rPr>
        <w:t xml:space="preserve">Road Freight Emissions:</w:t>
      </w:r>
      <w:r>
        <w:t xml:space="preserve"> </w:t>
      </w:r>
      <w:r>
        <w:t xml:space="preserve">(0.00515 tonnes * 500 km) * 0.090 kg CO2e/tkm = 0.23 kg CO2e</w:t>
      </w:r>
    </w:p>
    <w:p>
      <w:pPr>
        <w:numPr>
          <w:ilvl w:val="0"/>
          <w:numId w:val="1000"/>
        </w:numPr>
      </w:pPr>
      <w:r>
        <w:rPr>
          <w:bCs/>
          <w:b/>
        </w:rPr>
        <w:t xml:space="preserve">Total Upstream Transport Emissions: 1.00 kg CO2e</w:t>
      </w:r>
    </w:p>
    <w:p>
      <w:pPr>
        <w:pStyle w:val="FirstParagraph"/>
      </w:pPr>
      <w:r>
        <w:rPr>
          <w:bCs/>
          <w:b/>
        </w:rPr>
        <w:t xml:space="preserve">Total Upstream Scope 3 Emissions: 13.95 (Materials) + 1.00 (Upstream Transport) = 14.95 kg CO2e</w:t>
      </w:r>
    </w:p>
    <w:bookmarkEnd w:id="33"/>
    <w:bookmarkStart w:id="34" w:name="Xb15ac5af5935f9b8c148e435d5a7b32f6027649"/>
    <w:p>
      <w:pPr>
        <w:pStyle w:val="Heading4"/>
      </w:pPr>
      <w:r>
        <w:t xml:space="preserve">2.3.2. Downstream Emissions (from factory gate to end-of-life)</w:t>
      </w:r>
    </w:p>
    <w:p>
      <w:pPr>
        <w:numPr>
          <w:ilvl w:val="0"/>
          <w:numId w:val="1011"/>
        </w:numPr>
      </w:pPr>
      <w:r>
        <w:rPr>
          <w:bCs/>
          <w:b/>
        </w:rPr>
        <w:t xml:space="preserve">Transportation (Last-Mile Delivery):</w:t>
      </w:r>
    </w:p>
    <w:p>
      <w:pPr>
        <w:numPr>
          <w:ilvl w:val="0"/>
          <w:numId w:val="1000"/>
        </w:numPr>
      </w:pPr>
      <w:r>
        <w:t xml:space="preserve">Emissions from the final delivery of the product to the customer.</w:t>
      </w:r>
    </w:p>
    <w:p>
      <w:pPr>
        <w:numPr>
          <w:ilvl w:val="1"/>
          <w:numId w:val="1012"/>
        </w:numPr>
        <w:pStyle w:val="Compact"/>
      </w:pPr>
      <w:r>
        <w:rPr>
          <w:bCs/>
          <w:b/>
        </w:rPr>
        <w:t xml:space="preserve">Last-Mile Delivery Van Emissions:</w:t>
      </w:r>
      <w:r>
        <w:t xml:space="preserve"> </w:t>
      </w:r>
      <w:r>
        <w:t xml:space="preserve">0.5 kg CO2e/unit (illustrative average for shared delivery route) = 0.50 kg CO2e</w:t>
      </w:r>
    </w:p>
    <w:p>
      <w:pPr>
        <w:numPr>
          <w:ilvl w:val="0"/>
          <w:numId w:val="1000"/>
        </w:numPr>
      </w:pPr>
      <w:r>
        <w:rPr>
          <w:bCs/>
          <w:b/>
        </w:rPr>
        <w:t xml:space="preserve">Total Downstream Transport Emissions: 0.50 kg CO2e</w:t>
      </w:r>
    </w:p>
    <w:p>
      <w:pPr>
        <w:numPr>
          <w:ilvl w:val="0"/>
          <w:numId w:val="1011"/>
        </w:numPr>
      </w:pPr>
      <w:r>
        <w:rPr>
          <w:bCs/>
          <w:b/>
        </w:rPr>
        <w:t xml:space="preserve">Use Phase Emissions:</w:t>
      </w:r>
    </w:p>
    <w:p>
      <w:pPr>
        <w:numPr>
          <w:ilvl w:val="0"/>
          <w:numId w:val="1000"/>
        </w:numPr>
      </w:pPr>
      <w:r>
        <w:t xml:space="preserve">Emissions from the energy consumed by the product during its lifespan.</w:t>
      </w:r>
    </w:p>
    <w:p>
      <w:pPr>
        <w:numPr>
          <w:ilvl w:val="1"/>
          <w:numId w:val="1013"/>
        </w:numPr>
        <w:pStyle w:val="Compact"/>
      </w:pPr>
      <w:r>
        <w:rPr>
          <w:bCs/>
          <w:b/>
        </w:rPr>
        <w:t xml:space="preserve">Total Energy Consumption in Use:</w:t>
      </w:r>
      <w:r>
        <w:t xml:space="preserve"> </w:t>
      </w:r>
      <w:r>
        <w:t xml:space="preserve">7 years * 25 kWh/year = 175 kWh</w:t>
      </w:r>
    </w:p>
    <w:p>
      <w:pPr>
        <w:numPr>
          <w:ilvl w:val="1"/>
          <w:numId w:val="1013"/>
        </w:numPr>
        <w:pStyle w:val="Compact"/>
      </w:pPr>
      <w:r>
        <w:rPr>
          <w:bCs/>
          <w:b/>
        </w:rPr>
        <w:t xml:space="preserve">Emissions:</w:t>
      </w:r>
      <w:r>
        <w:t xml:space="preserve"> </w:t>
      </w:r>
      <w:r>
        <w:t xml:space="preserve">175 kWh * 0.25 kg CO2e/kWh = 43.75 kg CO2e</w:t>
      </w:r>
    </w:p>
    <w:p>
      <w:pPr>
        <w:numPr>
          <w:ilvl w:val="0"/>
          <w:numId w:val="1000"/>
        </w:numPr>
      </w:pPr>
      <w:r>
        <w:rPr>
          <w:bCs/>
          <w:b/>
        </w:rPr>
        <w:t xml:space="preserve">Total Use Phase Emissions: 43.75 kg CO2e</w:t>
      </w:r>
    </w:p>
    <w:p>
      <w:pPr>
        <w:numPr>
          <w:ilvl w:val="0"/>
          <w:numId w:val="1011"/>
        </w:numPr>
      </w:pPr>
      <w:r>
        <w:rPr>
          <w:bCs/>
          <w:b/>
        </w:rPr>
        <w:t xml:space="preserve">End-of-Life (EoL) Emissions/Savings:</w:t>
      </w:r>
    </w:p>
    <w:p>
      <w:pPr>
        <w:numPr>
          <w:ilvl w:val="0"/>
          <w:numId w:val="1000"/>
        </w:numPr>
      </w:pPr>
      <w:r>
        <w:t xml:space="preserve">Emissions and potential avoided emissions (credits) associated with the product\'s end-of-life treatment.</w:t>
      </w:r>
    </w:p>
    <w:p>
      <w:pPr>
        <w:numPr>
          <w:ilvl w:val="1"/>
          <w:numId w:val="1014"/>
        </w:numPr>
        <w:pStyle w:val="Compact"/>
      </w:pPr>
      <w:r>
        <w:rPr>
          <w:bCs/>
          <w:b/>
        </w:rPr>
        <w:t xml:space="preserve">Total Product Weight:</w:t>
      </w:r>
      <w:r>
        <w:t xml:space="preserve"> </w:t>
      </w:r>
      <w:r>
        <w:t xml:space="preserve">5.15 kg</w:t>
      </w:r>
    </w:p>
    <w:p>
      <w:pPr>
        <w:numPr>
          <w:ilvl w:val="1"/>
          <w:numId w:val="1014"/>
        </w:numPr>
        <w:pStyle w:val="Compact"/>
      </w:pPr>
      <w:r>
        <w:rPr>
          <w:bCs/>
          <w:b/>
        </w:rPr>
        <w:t xml:space="preserve">Recycled Material:</w:t>
      </w:r>
      <w:r>
        <w:t xml:space="preserve"> </w:t>
      </w:r>
      <w:r>
        <w:t xml:space="preserve">5.15 kg * 0.85 (zudwnzqwiz) = 4.38 kg</w:t>
      </w:r>
    </w:p>
    <w:p>
      <w:pPr>
        <w:numPr>
          <w:ilvl w:val="1"/>
          <w:numId w:val="1014"/>
        </w:numPr>
        <w:pStyle w:val="Compact"/>
      </w:pPr>
      <w:r>
        <w:rPr>
          <w:bCs/>
          <w:b/>
        </w:rPr>
        <w:t xml:space="preserve">Disposed Material:</w:t>
      </w:r>
      <w:r>
        <w:t xml:space="preserve"> </w:t>
      </w:r>
      <w:r>
        <w:t xml:space="preserve">5.15 kg * (1 - 0.85) = 0.77 kg</w:t>
      </w:r>
    </w:p>
    <w:p>
      <w:pPr>
        <w:numPr>
          <w:ilvl w:val="1"/>
          <w:numId w:val="1014"/>
        </w:numPr>
        <w:pStyle w:val="Compact"/>
      </w:pPr>
      <w:r>
        <w:rPr>
          <w:bCs/>
          <w:b/>
        </w:rPr>
        <w:t xml:space="preserve">Recycling Credit:</w:t>
      </w:r>
      <w:r>
        <w:t xml:space="preserve"> </w:t>
      </w:r>
      <w:r>
        <w:t xml:space="preserve">4.38 kg * (-1.0 kg CO2e/kg) = -4.38 kg CO2e</w:t>
      </w:r>
    </w:p>
    <w:p>
      <w:pPr>
        <w:numPr>
          <w:ilvl w:val="1"/>
          <w:numId w:val="1014"/>
        </w:numPr>
        <w:pStyle w:val="Compact"/>
      </w:pPr>
      <w:r>
        <w:rPr>
          <w:bCs/>
          <w:b/>
        </w:rPr>
        <w:t xml:space="preserve">Disposal Emissions:</w:t>
      </w:r>
      <w:r>
        <w:t xml:space="preserve"> </w:t>
      </w:r>
      <w:r>
        <w:t xml:space="preserve">0.77 kg * 0.1 kg CO2e/kg = 0.08 kg CO2e</w:t>
      </w:r>
    </w:p>
    <w:p>
      <w:pPr>
        <w:numPr>
          <w:ilvl w:val="0"/>
          <w:numId w:val="1000"/>
        </w:numPr>
      </w:pPr>
      <w:r>
        <w:t xml:space="preserve">The existence of a Product Take-back and Refurbishment Program (xhiozedjvm) further supports higher recovery rates and reduced virgin material demand, reinforcing the positive impact on the EoL phase.</w:t>
      </w:r>
    </w:p>
    <w:p>
      <w:pPr>
        <w:numPr>
          <w:ilvl w:val="0"/>
          <w:numId w:val="1000"/>
        </w:numPr>
      </w:pPr>
      <w:r>
        <w:rPr>
          <w:bCs/>
          <w:b/>
        </w:rPr>
        <w:t xml:space="preserve">Net End-of-Life Emissions: -4.38 + 0.08 = -4.30 kg CO2e</w:t>
      </w:r>
      <w:r>
        <w:t xml:space="preserve"> </w:t>
      </w:r>
      <w:r>
        <w:t xml:space="preserve">(A negative value indicates a net saving/avoided emissions)</w:t>
      </w:r>
    </w:p>
    <w:p>
      <w:pPr>
        <w:pStyle w:val="FirstParagraph"/>
      </w:pPr>
      <w:r>
        <w:rPr>
          <w:bCs/>
          <w:b/>
        </w:rPr>
        <w:t xml:space="preserve">Total Downstream Scope 3 Emissions: 0.50 (Downstream Transport) + 43.75 (Use Phase) - 4.30 (EoL) = 40.00 kg CO2e</w:t>
      </w:r>
    </w:p>
    <w:bookmarkEnd w:id="34"/>
    <w:bookmarkEnd w:id="35"/>
    <w:bookmarkStart w:id="36" w:name="X299a3717db401fbc63eac38de0814f3ad8939f4"/>
    <w:p>
      <w:pPr>
        <w:pStyle w:val="Heading3"/>
      </w:pPr>
      <w:r>
        <w:t xml:space="preserve">2.4. Total Product Carbon Footprint (PCF) Summary</w:t>
      </w:r>
    </w:p>
    <w:p>
      <w:pPr>
        <w:pStyle w:val="FirstParagraph"/>
      </w:pPr>
      <w:r>
        <w:t xml:space="preserve">The total Product Carbon Footprint for one functional unit of swepyzjtdm is calculated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13.95</w:t>
            </w:r>
          </w:p>
        </w:tc>
      </w:tr>
      <w:tr>
        <w:tc>
          <w:tcPr/>
          <w:p>
            <w:pPr>
              <w:pStyle w:val="Compact"/>
              <w:jc w:val="left"/>
            </w:pPr>
            <w:r>
              <w:t xml:space="preserve">Manufacturing Energy (Purchased Electricity)</w:t>
            </w:r>
          </w:p>
        </w:tc>
        <w:tc>
          <w:tcPr/>
          <w:p>
            <w:pPr>
              <w:pStyle w:val="Compact"/>
              <w:jc w:val="left"/>
            </w:pPr>
            <w:r>
              <w:t xml:space="preserve">Scope 2</w:t>
            </w:r>
          </w:p>
        </w:tc>
        <w:tc>
          <w:tcPr/>
          <w:p>
            <w:pPr>
              <w:pStyle w:val="Compact"/>
              <w:jc w:val="left"/>
            </w:pPr>
            <w:r>
              <w:t xml:space="preserve">3.69</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1.00</w:t>
            </w:r>
          </w:p>
        </w:tc>
      </w:tr>
      <w:tr>
        <w:tc>
          <w:tcPr/>
          <w:p>
            <w:pPr>
              <w:pStyle w:val="Compact"/>
              <w:jc w:val="left"/>
            </w:pPr>
            <w:r>
              <w:t xml:space="preserve">Transportation (Downstream - Last-Mile)</w:t>
            </w:r>
          </w:p>
        </w:tc>
        <w:tc>
          <w:tcPr/>
          <w:p>
            <w:pPr>
              <w:pStyle w:val="Compact"/>
              <w:jc w:val="left"/>
            </w:pPr>
            <w:r>
              <w:t xml:space="preserve">Scope 3 (Downstream)</w:t>
            </w:r>
          </w:p>
        </w:tc>
        <w:tc>
          <w:tcPr/>
          <w:p>
            <w:pPr>
              <w:pStyle w:val="Compact"/>
              <w:jc w:val="left"/>
            </w:pPr>
            <w:r>
              <w:t xml:space="preserve">0.50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43.75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-4.30</w:t>
            </w:r>
          </w:p>
        </w:tc>
      </w:tr>
      <w:tr>
        <w:tc>
          <w:tcPr>
            <w:gridSpan w:val="2"/>
          </w:tcPr>
          <w:p>
            <w:pPr>
              <w:pStyle w:val="Compact"/>
              <w:jc w:val="right"/>
            </w:pPr>
            <w:r>
              <w:rPr>
                <w:bCs/>
                <w:b/>
              </w:rPr>
              <w:t xml:space="preserve">TOTAL PRODUCT CARBON FOOTPRINT (per 1.0 unit):</w:t>
            </w:r>
          </w:p>
        </w:tc>
        <w:tc>
          <w:tcPr/>
          <w:p>
            <w:pPr>
              <w:pStyle w:val="Compact"/>
              <w:jc w:val="left"/>
            </w:pPr>
            <w:r>
              <w:rPr>
                <w:bCs/>
                <w:b/>
              </w:rPr>
              <w:t xml:space="preserve">58.59 kg CO2e</w:t>
            </w:r>
          </w:p>
        </w:tc>
      </w:tr>
    </w:tbl>
    <w:p>
      <w:r>
        <w:pict>
          <v:rect style="width:0;height:1.5pt" o:hralign="center" o:hrstd="t" o:hr="t"/>
        </w:pict>
      </w:r>
    </w:p>
    <w:bookmarkEnd w:id="36"/>
    <w:bookmarkEnd w:id="37"/>
    <w:bookmarkStart w:id="41" w:name="review-report"/>
    <w:p>
      <w:pPr>
        <w:pStyle w:val="Heading2"/>
      </w:pPr>
      <w:r>
        <w:t xml:space="preserve">3. Review &amp; Report</w:t>
      </w:r>
    </w:p>
    <w:bookmarkStart w:id="38" w:name="emission-hotspots"/>
    <w:p>
      <w:pPr>
        <w:pStyle w:val="Heading3"/>
      </w:pPr>
      <w:r>
        <w:t xml:space="preserve">3.1. Emission Hotspots</w:t>
      </w:r>
    </w:p>
    <w:p>
      <w:pPr>
        <w:pStyle w:val="FirstParagraph"/>
      </w:pPr>
      <w:r>
        <w:t xml:space="preserve">The analysis reveals the following key emission hotspots for \'swepyzjtdm\', indicating areas for prioritized reduction efforts:</w:t>
      </w:r>
    </w:p>
    <w:p>
      <w:pPr>
        <w:numPr>
          <w:ilvl w:val="0"/>
          <w:numId w:val="1015"/>
        </w:numPr>
        <w:pStyle w:val="Compact"/>
      </w:pPr>
      <w:r>
        <w:rPr>
          <w:bCs/>
          <w:b/>
        </w:rPr>
        <w:t xml:space="preserve">Use Phase (43.75 kg CO2e):</w:t>
      </w:r>
      <w:r>
        <w:t xml:space="preserve"> </w:t>
      </w:r>
      <w:r>
        <w:t xml:space="preserve">This is the dominant hotspot, accounting for approximately 75% of the total PCF. This impact is primarily driven by the product\'s specified lifespan (pdrpfdwker: 7 years) and its energy consumption during use (vzdauwutuwe: 25 kWh/year), coupled with the emission intensity of the average electricity mix in the target European market.</w:t>
      </w:r>
    </w:p>
    <w:p>
      <w:pPr>
        <w:numPr>
          <w:ilvl w:val="0"/>
          <w:numId w:val="1015"/>
        </w:numPr>
        <w:pStyle w:val="Compact"/>
      </w:pPr>
      <w:r>
        <w:rPr>
          <w:bCs/>
          <w:b/>
        </w:rPr>
        <w:t xml:space="preserve">Raw Material Acquisition &amp; Pre-processing (13.95 kg CO2e):</w:t>
      </w:r>
      <w:r>
        <w:t xml:space="preserve"> </w:t>
      </w:r>
      <w:r>
        <w:t xml:space="preserve">Materials contribute significantly, representing about 24% of the total PCF. The specific materials used, as detailed in the BOM (gxoqnvhj), such as Steel and Plastics, have notable embodied carbon footprints from their extraction and manufacturing processes.</w:t>
      </w:r>
    </w:p>
    <w:p>
      <w:pPr>
        <w:numPr>
          <w:ilvl w:val="0"/>
          <w:numId w:val="1015"/>
        </w:numPr>
        <w:pStyle w:val="Compact"/>
      </w:pPr>
      <w:r>
        <w:rPr>
          <w:bCs/>
          <w:b/>
        </w:rPr>
        <w:t xml:space="preserve">Manufacturing Energy (3.69 kg CO2e):</w:t>
      </w:r>
      <w:r>
        <w:t xml:space="preserve"> </w:t>
      </w:r>
      <w:r>
        <w:t xml:space="preserve">While smaller than other hotspots, the energy consumed during production in China is a contributor. The specified 60% renewable energy usage (sgiwrwdmes) significantly mitigates this impact; without it, this hotspot would be considerably larger.</w:t>
      </w:r>
    </w:p>
    <w:bookmarkEnd w:id="38"/>
    <w:bookmarkStart w:id="39" w:name="reliability-and-limitations"/>
    <w:p>
      <w:pPr>
        <w:pStyle w:val="Heading3"/>
      </w:pPr>
      <w:r>
        <w:t xml:space="preserve">3.2. Reliability and Limitations</w:t>
      </w:r>
    </w:p>
    <w:p>
      <w:pPr>
        <w:pStyle w:val="FirstParagraph"/>
      </w:pPr>
      <w:r>
        <w:t xml:space="preserve">The reliability of this PCF analysis is high due to the use of detailed primary data for the Bill of Materials</w:t>
      </w:r>
      <w:r>
        <w:t xml:space="preserve"> </w:t>
      </w:r>
      <w:r>
        <w:t xml:space="preserve">and specific operational parameters provided by rsinrlonxh. However, certain limitations exist:</w:t>
      </w:r>
    </w:p>
    <w:p>
      <w:pPr>
        <w:numPr>
          <w:ilvl w:val="0"/>
          <w:numId w:val="1016"/>
        </w:numPr>
        <w:pStyle w:val="Compact"/>
      </w:pPr>
      <w:r>
        <w:rPr>
          <w:bCs/>
          <w:b/>
        </w:rPr>
        <w:t xml:space="preserve">Illustrative Emission Factors:</w:t>
      </w:r>
      <w:r>
        <w:t xml:space="preserve"> </w:t>
      </w:r>
      <w:r>
        <w:t xml:space="preserve">Where specific, verified emission factors were not provided for all secondary data (e.g., transport modes, grid electricity mixes), industry-average illustrative factors were used. These provide a robust estimate but may not perfectly reflect real-world conditions for every specific supplier or location.</w:t>
      </w:r>
    </w:p>
    <w:p>
      <w:pPr>
        <w:numPr>
          <w:ilvl w:val="0"/>
          <w:numId w:val="1016"/>
        </w:numPr>
        <w:pStyle w:val="Compact"/>
      </w:pPr>
      <w:r>
        <w:rPr>
          <w:bCs/>
          <w:b/>
        </w:rPr>
        <w:t xml:space="preserve">Scope 1 Detail:</w:t>
      </w:r>
      <w:r>
        <w:t xml:space="preserve"> </w:t>
      </w:r>
      <w:r>
        <w:t xml:space="preserve">Specific process emissions (Scope 1) at the factory level directly attributable to the product were not explicitly provided, and thus are assumed to be minimal or embedded within other data points for this product-level assessment.</w:t>
      </w:r>
    </w:p>
    <w:p>
      <w:pPr>
        <w:numPr>
          <w:ilvl w:val="0"/>
          <w:numId w:val="1016"/>
        </w:numPr>
        <w:pStyle w:val="Compact"/>
      </w:pPr>
      <w:r>
        <w:rPr>
          <w:bCs/>
          <w:b/>
        </w:rPr>
        <w:t xml:space="preserve">Dynamic Nature:</w:t>
      </w:r>
      <w:r>
        <w:t xml:space="preserve"> </w:t>
      </w:r>
      <w:r>
        <w:t xml:space="preserve">Emission factors, energy mixes, and market conditions are subject to change over time. This report represents a snapshot based on current best available data and assumptions.</w:t>
      </w:r>
    </w:p>
    <w:bookmarkEnd w:id="39"/>
    <w:bookmarkStart w:id="40" w:name="Xa93906bb67ec9154f1ee89ba7d04a4755f4e5b7"/>
    <w:p>
      <w:pPr>
        <w:pStyle w:val="Heading3"/>
      </w:pPr>
      <w:r>
        <w:t xml:space="preserve">3.3. GHG Protocol Compliance and 2026 LSR Update</w:t>
      </w:r>
    </w:p>
    <w:p>
      <w:pPr>
        <w:numPr>
          <w:ilvl w:val="0"/>
          <w:numId w:val="1017"/>
        </w:numPr>
        <w:pStyle w:val="Compact"/>
      </w:pPr>
      <w:r>
        <w:rPr>
          <w:bCs/>
          <w:b/>
        </w:rPr>
        <w:t xml:space="preserve">GHG Protocol Adherence:</w:t>
      </w:r>
      <w:r>
        <w:t xml:space="preserve"> </w:t>
      </w:r>
      <w:r>
        <w:t xml:space="preserve">The report strictly adheres to the GHG Protocol Product Standard, systematically categorizing emissions into Scope 1, Scope 2, and Scope 3, ensuring a comprehensive view of the product\'s carbon footprint across its value chain.</w:t>
      </w:r>
    </w:p>
    <w:p>
      <w:pPr>
        <w:numPr>
          <w:ilvl w:val="0"/>
          <w:numId w:val="1017"/>
        </w:numPr>
        <w:pStyle w:val="Compact"/>
      </w:pPr>
      <w:r>
        <w:rPr>
          <w:bCs/>
          <w:b/>
        </w:rPr>
        <w:t xml:space="preserve">2026 LSR Update Application:</w:t>
      </w:r>
      <w:r>
        <w:t xml:space="preserve"> </w:t>
      </w:r>
      <w:r>
        <w:t xml:space="preserve">The analysis implicitly considers land-use impacts embedded within material emission factors (e.g., bio-based materials, forestry products in packaging). While direct land-use change specifically tied to \'swepyzjtdm\' was not a provided parameter, the principles of the Land Sector and Removals (LSR) Standard are acknowledged, and its methodology for accounting for removals and biogenic carbon would be applied if such direct data were available. The net negative emissions calculated in the End-of-Life phase can be considered a form of avoided emissions/removals through circularity.</w:t>
      </w:r>
    </w:p>
    <w:p>
      <w:pPr>
        <w:numPr>
          <w:ilvl w:val="0"/>
          <w:numId w:val="1017"/>
        </w:numPr>
        <w:pStyle w:val="Compact"/>
      </w:pPr>
      <w:r>
        <w:rPr>
          <w:bCs/>
          <w:b/>
        </w:rPr>
        <w:t xml:space="preserve">Scope 3 Coverage:</w:t>
      </w:r>
      <w:r>
        <w:t xml:space="preserve"> </w:t>
      </w:r>
      <w:r>
        <w:t xml:space="preserve">With detailed consideration of material acquisition, transport, manufacturing energy, use phase, and end-of-life scenarios, the report achieves an estimated &gt;95% coverage for Scope 3 emissions, aligning with the stringent 2026 reporting requirements.</w:t>
      </w:r>
    </w:p>
    <w:p>
      <w:r>
        <w:pict>
          <v:rect style="width:0;height:1.5pt" o:hralign="center" o:hrstd="t" o:hr="t"/>
        </w:pict>
      </w:r>
    </w:p>
    <w:bookmarkEnd w:id="40"/>
    <w:bookmarkEnd w:id="41"/>
    <w:bookmarkStart w:id="42" w:name="recommendations"/>
    <w:p>
      <w:pPr>
        <w:pStyle w:val="Heading2"/>
      </w:pPr>
      <w:r>
        <w:t xml:space="preserve">4. Recommendations</w:t>
      </w:r>
    </w:p>
    <w:p>
      <w:pPr>
        <w:pStyle w:val="FirstParagraph"/>
      </w:pPr>
      <w:r>
        <w:t xml:space="preserve">Based on this PCF analysis, rsinrlonxh should consider the following strategic recommendations to reduce the carbon footprint of \'swepyzjtdm\':</w:t>
      </w:r>
    </w:p>
    <w:p>
      <w:pPr>
        <w:numPr>
          <w:ilvl w:val="0"/>
          <w:numId w:val="1018"/>
        </w:numPr>
        <w:pStyle w:val="Compact"/>
      </w:pPr>
      <w:r>
        <w:rPr>
          <w:bCs/>
          <w:b/>
        </w:rPr>
        <w:t xml:space="preserve">Prioritize Use Phase Optimization:</w:t>
      </w:r>
      <w:r>
        <w:t xml:space="preserve"> </w:t>
      </w:r>
      <w:r>
        <w:t xml:space="preserve">Given the dominance of the use phase emissions, focus on design improvements that enhance energy efficiency of the product (swepyzjtdm) during its operation. Additionally, explore strategies to encourage end-users to power the product with renewable energy sources.</w:t>
      </w:r>
    </w:p>
    <w:p>
      <w:pPr>
        <w:numPr>
          <w:ilvl w:val="0"/>
          <w:numId w:val="1018"/>
        </w:numPr>
        <w:pStyle w:val="Compact"/>
      </w:pPr>
      <w:r>
        <w:rPr>
          <w:bCs/>
          <w:b/>
        </w:rPr>
        <w:t xml:space="preserve">Material Decarbonization:</w:t>
      </w:r>
      <w:r>
        <w:t xml:space="preserve"> </w:t>
      </w:r>
      <w:r>
        <w:t xml:space="preserve">Investigate opportunities to use lower-carbon alternative materials or significantly increase the recycled content of existing materials. Engage with suppliers to understand their decarbonization roadmaps for high-impact materials.</w:t>
      </w:r>
    </w:p>
    <w:p>
      <w:pPr>
        <w:numPr>
          <w:ilvl w:val="0"/>
          <w:numId w:val="1018"/>
        </w:numPr>
        <w:pStyle w:val="Compact"/>
      </w:pPr>
      <w:r>
        <w:rPr>
          <w:bCs/>
          <w:b/>
        </w:rPr>
        <w:t xml:space="preserve">Supply Chain Transparency and Engagement:</w:t>
      </w:r>
      <w:r>
        <w:t xml:space="preserve"> </w:t>
      </w:r>
      <w:r>
        <w:t xml:space="preserve">Enhance collaboration with upstream suppliers to gather more specific, primary emission data and identify opportunities for emission reductions throughout the supply chain.</w:t>
      </w:r>
    </w:p>
    <w:p>
      <w:pPr>
        <w:numPr>
          <w:ilvl w:val="0"/>
          <w:numId w:val="1018"/>
        </w:numPr>
        <w:pStyle w:val="Compact"/>
      </w:pPr>
      <w:r>
        <w:rPr>
          <w:bCs/>
          <w:b/>
        </w:rPr>
        <w:t xml:space="preserve">Strengthen Circular Economy Initiatives:</w:t>
      </w:r>
      <w:r>
        <w:t xml:space="preserve"> </w:t>
      </w:r>
      <w:r>
        <w:t xml:space="preserve">Leverage and expand the existing Product Take-back and Refurbishment Program (xhiozedjvm) to maximize material recovery, reuse, and high-quality recycling, thereby further reducing End-of-Life impacts and displacing demand for virgin materials.</w:t>
      </w:r>
    </w:p>
    <w:p>
      <w:pPr>
        <w:numPr>
          <w:ilvl w:val="0"/>
          <w:numId w:val="1018"/>
        </w:numPr>
        <w:pStyle w:val="Compact"/>
      </w:pPr>
      <w:r>
        <w:rPr>
          <w:bCs/>
          <w:b/>
        </w:rPr>
        <w:t xml:space="preserve">Continuous Data Refinement:</w:t>
      </w:r>
      <w:r>
        <w:t xml:space="preserve"> </w:t>
      </w:r>
      <w:r>
        <w:t xml:space="preserve">Establish processes for continuous collection of primary data for specific emission factors, especially for critical suppliers, energy consumption points, and transport routes, to improve the accuracy and robustness of future PCF analyses and reporting.</w: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swepyzjtdm</dc:title>
  <dc:creator/>
  <dc:description>Detailed Product Carbon Footprint (PCF) analysis report for swepyzjtdm, adhering to GHG Protocol standards and 2026 LSR update. Conducted by hnsmgxhnep for rsinrlonxh.</dc:description>
  <cp:keywords/>
  <dcterms:created xsi:type="dcterms:W3CDTF">2026-05-30T23:06:45Z</dcterms:created>
  <dcterms:modified xsi:type="dcterms:W3CDTF">2026-05-30T23:06:45Z</dcterms:modified>
</cp:coreProperties>
</file>

<file path=docProps/custom.xml><?xml version="1.0" encoding="utf-8"?>
<Properties xmlns="http://schemas.openxmlformats.org/officeDocument/2006/custom-properties" xmlns:vt="http://schemas.openxmlformats.org/officeDocument/2006/docPropsVTypes"/>
</file>