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svsdzvvpsq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svsdzvvpsq</w:t>
      </w:r>
    </w:p>
    <w:p>
      <w:pPr>
        <w:pStyle w:val="BodyText"/>
      </w:pPr>
      <w:r>
        <w:rPr>
          <w:bCs/>
          <w:b/>
        </w:rPr>
        <w:t xml:space="preserve">Company Name:</w:t>
      </w:r>
      <w:r>
        <w:t xml:space="preserve"> </w:t>
      </w:r>
      <w:r>
        <w:t xml:space="preserve">ulwzusdytj</w:t>
      </w:r>
    </w:p>
    <w:p>
      <w:pPr>
        <w:pStyle w:val="BodyText"/>
      </w:pPr>
      <w:r>
        <w:rPr>
          <w:bCs/>
          <w:b/>
        </w:rPr>
        <w:t xml:space="preserve">Senior Sustainability Consultant:</w:t>
      </w:r>
      <w:r>
        <w:t xml:space="preserve"> </w:t>
      </w:r>
      <w:r>
        <w:t xml:space="preserve">fqsvyvitfp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values have been used where specific data was provided as a placeholder.</w:t>
      </w:r>
      <w:r>
        <w:t xml:space="preserve"> </w:t>
      </w:r>
      <w:r>
        <w:t xml:space="preserve">Actual results may vary with primary data collection.</w:t>
      </w:r>
    </w:p>
    <w:bookmarkEnd w:id="20"/>
    <w:bookmarkStart w:id="21" w:name="product-carbon-footprint-analysis"/>
    <w:p>
      <w:pPr>
        <w:pStyle w:val="Heading1"/>
      </w:pPr>
      <w:r>
        <w:t xml:space="preserve">Product Carbon Footprint Analysis</w:t>
      </w:r>
    </w:p>
    <w:p>
      <w:pPr>
        <w:pStyle w:val="FirstParagraph"/>
      </w:pPr>
      <w:r>
        <w:t xml:space="preserve">For Product: svsdzvvpsq | Generated Date: May 27, 2026</w:t>
      </w:r>
    </w:p>
    <w:p>
      <w:pPr>
        <w:pStyle w:val="BodyText"/>
      </w:pPr>
      <w:r>
        <w:t xml:space="preserve">Company: ulwzusdytj | Consultant: fqsvyvitfp</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\'svsdzvvpsq\', manufactured by \'ulwzusdytj\'.</w:t>
      </w:r>
      <w:r>
        <w:t xml:space="preserve"> </w:t>
      </w:r>
      <w:r>
        <w:t xml:space="preserve">Conducted by \'fqsvyvitfp\', Senior Sustainability Consultant, this analysis adheres to the GHG Protocol standards [11, 27, 28],</w:t>
      </w:r>
      <w:r>
        <w:t xml:space="preserve"> </w:t>
      </w:r>
      <w:r>
        <w:t xml:space="preserve">incorporating the 2026 Land Sector and Removals (LSR) update [3, 4, 8, 13, 20] and aiming for over 95% Scope 3 coverage [5, 7, 15, 21, 22].</w:t>
      </w:r>
      <w:r>
        <w:t xml:space="preserve"> </w:t>
      </w:r>
      <w:r>
        <w:t xml:space="preserve">The PCF quantifies the total greenhouse gas emissions associated with the product\'s entire lifecycle [11, 12],</w:t>
      </w:r>
      <w:r>
        <w:t xml:space="preserve"> </w:t>
      </w:r>
      <w:r>
        <w:t xml:space="preserve">from raw material extraction to end-of-life, providing critical insights for sustainability improvements.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svsdzvvpsq</w:t>
      </w:r>
      <w:r>
        <w:t xml:space="preserve">.</w:t>
      </w:r>
      <w:r>
        <w:t xml:space="preserve"> </w:t>
      </w:r>
      <w:r>
        <w:t xml:space="preserve">This unit serves as the reference flow to which all input and output data are normalized.</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t>
      </w:r>
      <w:r>
        <w:t xml:space="preserve">for the primary production,</w:t>
      </w:r>
      <w:r>
        <w:t xml:space="preserve"> </w:t>
      </w:r>
      <w:r>
        <w:t xml:space="preserve">but the full lifecycle perspective is adopted for reporting, covering:</w:t>
      </w:r>
    </w:p>
    <w:p>
      <w:pPr>
        <w:numPr>
          <w:ilvl w:val="0"/>
          <w:numId w:val="1001"/>
        </w:numPr>
        <w:pStyle w:val="Compact"/>
      </w:pPr>
      <w:r>
        <w:t xml:space="preserve">Raw Material Acquisition and Pre-processing</w:t>
      </w:r>
    </w:p>
    <w:p>
      <w:pPr>
        <w:numPr>
          <w:ilvl w:val="0"/>
          <w:numId w:val="1001"/>
        </w:numPr>
        <w:pStyle w:val="Compact"/>
      </w:pPr>
      <w:r>
        <w:t xml:space="preserve">Manufacturing (at ulwzusdytj\'s facilities, up to factory_gate)</w:t>
      </w:r>
    </w:p>
    <w:p>
      <w:pPr>
        <w:numPr>
          <w:ilvl w:val="0"/>
          <w:numId w:val="1001"/>
        </w:numPr>
        <w:pStyle w:val="Compact"/>
      </w:pPr>
      <w:r>
        <w:t xml:space="preserve">Distribution and Transport (from factory_gate to customer)</w:t>
      </w:r>
    </w:p>
    <w:p>
      <w:pPr>
        <w:numPr>
          <w:ilvl w:val="0"/>
          <w:numId w:val="1001"/>
        </w:numPr>
        <w:pStyle w:val="Compact"/>
      </w:pPr>
      <w:r>
        <w:t xml:space="preserve">Use Phase by the consumer</w:t>
      </w:r>
    </w:p>
    <w:p>
      <w:pPr>
        <w:numPr>
          <w:ilvl w:val="0"/>
          <w:numId w:val="1001"/>
        </w:numPr>
        <w:pStyle w:val="Compact"/>
      </w:pPr>
      <w:r>
        <w:t xml:space="preserve">End-of-Life Treatment (disposal or recycling)</w:t>
      </w:r>
    </w:p>
    <w:p>
      <w:pPr>
        <w:pStyle w:val="FirstParagraph"/>
      </w:pPr>
      <w:r>
        <w:t xml:space="preserve">This "Cradle-to-Grave" approach ensures comprehensive coverage of environmental impacts associated with the product [11].</w:t>
      </w:r>
    </w:p>
    <w:bookmarkEnd w:id="24"/>
    <w:bookmarkStart w:id="25" w:name="geographic-scope"/>
    <w:p>
      <w:pPr>
        <w:pStyle w:val="Heading3"/>
      </w:pPr>
      <w:r>
        <w:t xml:space="preserve">1.3 Geographic Scope</w:t>
      </w:r>
    </w:p>
    <w:p>
      <w:pPr>
        <w:pStyle w:val="FirstParagraph"/>
      </w:pPr>
      <w:r>
        <w:t xml:space="preserve">The final production country for svsdzvvpsq is</w:t>
      </w:r>
      <w:r>
        <w:t xml:space="preserve"> </w:t>
      </w:r>
      <w:r>
        <w:rPr>
          <w:bCs/>
          <w:b/>
        </w:rPr>
        <w:t xml:space="preserve">China</w:t>
      </w:r>
      <w:r>
        <w:t xml:space="preserve">.</w:t>
      </w:r>
      <w:r>
        <w:t xml:space="preserve"> </w:t>
      </w:r>
      <w:r>
        <w:t xml:space="preserve">The supply chain focus, particularly for raw material sourcing, is</w:t>
      </w:r>
      <w:r>
        <w:t xml:space="preserve"> </w:t>
      </w:r>
      <w:r>
        <w:rPr>
          <w:bCs/>
          <w:b/>
        </w:rPr>
        <w:t xml:space="preserve">Europe Focused</w:t>
      </w:r>
      <w:r>
        <w:t xml:space="preserve">.</w:t>
      </w:r>
      <w:r>
        <w:t xml:space="preserve"> </w:t>
      </w:r>
      <w:r>
        <w:t xml:space="preserve">The distribution and use phases are assumed to be primarily within Europe.</w:t>
      </w:r>
    </w:p>
    <w:bookmarkEnd w:id="25"/>
    <w:bookmarkStart w:id="26" w:name="allocation"/>
    <w:p>
      <w:pPr>
        <w:pStyle w:val="Heading3"/>
      </w:pPr>
      <w:r>
        <w:t xml:space="preserve">1.4 Allocation</w:t>
      </w:r>
    </w:p>
    <w:p>
      <w:pPr>
        <w:pStyle w:val="FirstParagraph"/>
      </w:pPr>
      <w:r>
        <w:t xml:space="preserve">Emissions are allocated directly to the functional unit (1.0 unit of svsdzvvpsq).</w:t>
      </w:r>
      <w:r>
        <w:t xml:space="preserve"> </w:t>
      </w:r>
      <w:r>
        <w:t xml:space="preserve">Where shared processes or infrastructure are involved, economic allocation is considered if appropriate,</w:t>
      </w:r>
      <w:r>
        <w:t xml:space="preserve"> </w:t>
      </w:r>
      <w:r>
        <w:t xml:space="preserve">though for this product-level analysis, direct allocation to the specific product unit is prioritized.</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w:t>
      </w:r>
      <w:r>
        <w:t xml:space="preserve">[11, 27, 28], specifically focusing on product lifecycle assessment guidelines.</w:t>
      </w:r>
      <w:r>
        <w:t xml:space="preserve"> </w:t>
      </w:r>
      <w:r>
        <w:t xml:space="preserve">Emissions are categorized into Scope 1 (Direct Emissions), Scope 2 (Energy Indirect Emissions),</w:t>
      </w:r>
      <w:r>
        <w:t xml:space="preserve"> </w:t>
      </w:r>
      <w:r>
        <w:t xml:space="preserve">and Scope 3 (Other Indirect Emissions from the Value Chain) for comprehensive reporting [2, 6, 9, 14, 18].</w:t>
      </w:r>
      <w:r>
        <w:t xml:space="preserve"> </w:t>
      </w:r>
      <w:r>
        <w:t xml:space="preserve">The analysis also incorporates the</w:t>
      </w:r>
      <w:r>
        <w:t xml:space="preserve"> </w:t>
      </w:r>
      <w:r>
        <w:rPr>
          <w:bCs/>
          <w:b/>
        </w:rPr>
        <w:t xml:space="preserve">2026 Land Sector and Removals (LSR) Standard</w:t>
      </w:r>
      <w:r>
        <w:t xml:space="preserve"> </w:t>
      </w:r>
      <w:r>
        <w:t xml:space="preserve">for land use and carbon removals [3, 4, 8, 13, 20].</w:t>
      </w:r>
    </w:p>
    <w:p>
      <w:pPr>
        <w:pStyle w:val="BodyText"/>
      </w:pPr>
      <w:r>
        <w:t xml:space="preserve">A key objective is to achieve at least</w:t>
      </w:r>
      <w:r>
        <w:t xml:space="preserve"> </w:t>
      </w:r>
      <w:r>
        <w:rPr>
          <w:bCs/>
          <w:b/>
        </w:rPr>
        <w:t xml:space="preserve">95% coverage for Scope 3 reporting</w:t>
      </w:r>
      <w:r>
        <w:t xml:space="preserve"> </w:t>
      </w:r>
      <w:r>
        <w:t xml:space="preserve">[5, 7, 15, 21, 22],</w:t>
      </w:r>
      <w:r>
        <w:t xml:space="preserve"> </w:t>
      </w:r>
      <w:r>
        <w:t xml:space="preserve">in line with anticipated 2026 requirements, ensuring a robust and reliable assessment of value chain impacts.</w:t>
      </w:r>
    </w:p>
    <w:p>
      <w:r>
        <w:pict>
          <v:rect style="width:0;height:1.5pt" o:hralign="center" o:hrstd="t" o:hr="t"/>
        </w:pict>
      </w:r>
    </w:p>
    <w:bookmarkEnd w:id="27"/>
    <w:bookmarkEnd w:id="28"/>
    <w:bookmarkStart w:id="34" w:name="X71cc32e4c31a04db133b35e2c1b08fdb600fd65"/>
    <w:p>
      <w:pPr>
        <w:pStyle w:val="Heading2"/>
      </w:pPr>
      <w:r>
        <w:t xml:space="preserve">2. Lifecycle Inventory (LCI) Stages &amp; Data Collection</w:t>
      </w:r>
    </w:p>
    <w:p>
      <w:pPr>
        <w:pStyle w:val="FirstParagraph"/>
      </w:pPr>
      <w:r>
        <w:t xml:space="preserve">The lifecycle of \'svsdzvvpsq\' has been mapped into the following stages, with data collected from primary and secondary sources.</w:t>
      </w:r>
      <w:r>
        <w:t xml:space="preserve"> </w:t>
      </w:r>
      <w:r>
        <w:t xml:space="preserve">Illustrative values are used for parameters provided as placeholders in the initial request, acknowledged to be industry-standard estimations where specific primary data was not available [17, 19, 25].</w:t>
      </w:r>
    </w:p>
    <w:bookmarkStart w:id="29" w:name="X759f60893c939435f2404282e131597d2852f00"/>
    <w:p>
      <w:pPr>
        <w:pStyle w:val="Heading3"/>
      </w:pPr>
      <w:r>
        <w:t xml:space="preserve">2.1 Bill of Materials (BOM) &amp; Material Acquisition (Scope 3, Category 1: Purchased goods and services)</w:t>
      </w:r>
    </w:p>
    <w:p>
      <w:pPr>
        <w:pStyle w:val="FirstParagraph"/>
      </w:pPr>
      <w:r>
        <w:t xml:space="preserve">The detailed Bill of Materials (BOM) for \'svsdzvvpsq\' is provided below.</w:t>
      </w:r>
      <w:r>
        <w:t xml:space="preserve"> </w:t>
      </w:r>
      <w:r>
        <w:t xml:space="preserve">For calculation purposes, illustrative values are used for the \'Emission Factor\' and \'Total Carbon\' columns,</w:t>
      </w:r>
      <w:r>
        <w:t xml:space="preserve"> </w:t>
      </w:r>
      <w:r>
        <w:t xml:space="preserve">reflecting typical impacts for such materials [26, 36, 42, 32, 39, 41, 43, 33, 48, 50, 37], as the provided BOM string "iwpwngmd" was a placeholder for structured data.</w:t>
      </w:r>
      <w:r>
        <w:t xml:space="preserve"> </w:t>
      </w:r>
      <w:r>
        <w:t xml:space="preserve">These values are crucial for assessing the upstream impacts of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w:t>
            </w:r>
          </w:p>
        </w:tc>
      </w:tr>
      <w:tr>
        <w:tc>
          <w:tcPr/>
          <w:p>
            <w:pPr>
              <w:pStyle w:val="Compact"/>
              <w:jc w:val="left"/>
            </w:pPr>
            <w:r>
              <w:t xml:space="preserve">P002</w:t>
            </w:r>
          </w:p>
        </w:tc>
        <w:tc>
          <w:tcPr/>
          <w:p>
            <w:pPr>
              <w:pStyle w:val="Compact"/>
              <w:jc w:val="left"/>
            </w:pPr>
            <w:r>
              <w:t xml:space="preserve">Polycarbonate Lens</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4.2</w:t>
            </w:r>
          </w:p>
        </w:tc>
        <w:tc>
          <w:tcPr/>
          <w:p>
            <w:pPr>
              <w:pStyle w:val="Compact"/>
              <w:jc w:val="left"/>
            </w:pPr>
            <w:r>
              <w:t xml:space="preserve">0.126</w:t>
            </w:r>
          </w:p>
        </w:tc>
      </w:tr>
      <w:tr>
        <w:tc>
          <w:tcPr>
            <w:gridSpan w:val="7"/>
          </w:tcPr>
          <w:p>
            <w:pPr>
              <w:pStyle w:val="Compact"/>
              <w:jc w:val="right"/>
            </w:pPr>
            <w:r>
              <w:t xml:space="preserve">Total Material Carbon:</w:t>
            </w:r>
          </w:p>
        </w:tc>
        <w:tc>
          <w:tcPr/>
          <w:p>
            <w:pPr>
              <w:pStyle w:val="Compact"/>
              <w:jc w:val="left"/>
            </w:pPr>
            <w:r>
              <w:t xml:space="preserve">5.626</w:t>
            </w:r>
          </w:p>
        </w:tc>
      </w:tr>
    </w:tbl>
    <w:p>
      <w:pPr>
        <w:pStyle w:val="BodyText"/>
      </w:pPr>
      <w:r>
        <w:t xml:space="preserve">*Note: The "Emission Factor" and "Total Carbon" values are illustrative, based on assumed industry averages (e.g., Ecoinvent, DEFRA) [10, 16, 17, 19, 23, 24, 25, 27] and reflect the methodology outlined by the GHG Protocol.</w:t>
      </w:r>
      <w:r>
        <w:t xml:space="preserve"> </w:t>
      </w:r>
      <w:r>
        <w:t xml:space="preserve">The total weight of components used in these illustrative calculations is 0.88 kg.</w:t>
      </w:r>
    </w:p>
    <w:bookmarkEnd w:id="29"/>
    <w:bookmarkStart w:id="30" w:name="Xa2b8525e6b12a1f060f4904edca070920876faf"/>
    <w:p>
      <w:pPr>
        <w:pStyle w:val="Heading3"/>
      </w:pPr>
      <w:r>
        <w:t xml:space="preserve">2.2 Production Phase (Scope 2: Purchased electricity, Scope 3: Upstream emissions related to fuel)</w:t>
      </w:r>
    </w:p>
    <w:p>
      <w:pPr>
        <w:pStyle w:val="FirstParagraph"/>
      </w:pPr>
      <w:r>
        <w:t xml:space="preserve">Energy consumption during the manufacturing of \'svsdzvvpsq\' is a significant factor.</w:t>
      </w:r>
      <w:r>
        <w:t xml:space="preserve"> </w:t>
      </w:r>
      <w:r>
        <w:t xml:space="preserve">The following data points were used:</w:t>
      </w:r>
    </w:p>
    <w:p>
      <w:pPr>
        <w:numPr>
          <w:ilvl w:val="0"/>
          <w:numId w:val="1002"/>
        </w:numPr>
        <w:pStyle w:val="Compact"/>
      </w:pPr>
      <w:r>
        <w:rPr>
          <w:bCs/>
          <w:b/>
        </w:rPr>
        <w:t xml:space="preserve">Energy Intensity (kWh/unit):</w:t>
      </w:r>
      <w:r>
        <w:t xml:space="preserve"> </w:t>
      </w:r>
      <w:r>
        <w:t xml:space="preserve">10 kWh/unit (illustrative, replacing \'vqzqfruoxd\')</w:t>
      </w:r>
    </w:p>
    <w:p>
      <w:pPr>
        <w:numPr>
          <w:ilvl w:val="0"/>
          <w:numId w:val="1002"/>
        </w:numPr>
        <w:pStyle w:val="Compact"/>
      </w:pPr>
      <w:r>
        <w:rPr>
          <w:bCs/>
          <w:b/>
        </w:rPr>
        <w:t xml:space="preserve">Renewable Energy Usage:</w:t>
      </w:r>
      <w:r>
        <w:t xml:space="preserve"> </w:t>
      </w:r>
      <w:r>
        <w:t xml:space="preserve">70% (illustrative, replacing \'iplgumnkho\')</w:t>
      </w:r>
    </w:p>
    <w:p>
      <w:pPr>
        <w:pStyle w:val="FirstParagraph"/>
      </w:pPr>
      <w:r>
        <w:t xml:space="preserve">An illustrative non-renewable grid electricity emission factor of 0.5 kgCO2e/kWh is used for the remaining 30% of energy not covered by renewables.</w:t>
      </w:r>
    </w:p>
    <w:bookmarkEnd w:id="30"/>
    <w:bookmarkStart w:id="31" w:name="Xef458b034a05ade4c4cc2289b35c404c0b1e298"/>
    <w:p>
      <w:pPr>
        <w:pStyle w:val="Heading3"/>
      </w:pPr>
      <w:r>
        <w:t xml:space="preserve">2.3 Transport and Distribution (Scope 3, Category 4 &amp; 9: Upstream and Downstream transportation)</w:t>
      </w:r>
    </w:p>
    <w:p>
      <w:pPr>
        <w:pStyle w:val="FirstParagraph"/>
      </w:pPr>
      <w:r>
        <w:t xml:space="preserve">Logistics play a critical role in the product\'s footprint. The following illustrative data was used:</w:t>
      </w:r>
    </w:p>
    <w:p>
      <w:pPr>
        <w:numPr>
          <w:ilvl w:val="0"/>
          <w:numId w:val="1003"/>
        </w:numPr>
        <w:pStyle w:val="Compact"/>
      </w:pPr>
      <w:r>
        <w:rPr>
          <w:bCs/>
          <w:b/>
        </w:rPr>
        <w:t xml:space="preserve">Upstream Transport (Components from Europe to China):</w:t>
      </w:r>
    </w:p>
    <w:p>
      <w:pPr>
        <w:numPr>
          <w:ilvl w:val="1"/>
          <w:numId w:val="1004"/>
        </w:numPr>
        <w:pStyle w:val="Compact"/>
      </w:pPr>
      <w:r>
        <w:t xml:space="preserve">Mode: Road Freight (Heavy Truck)</w:t>
      </w:r>
    </w:p>
    <w:p>
      <w:pPr>
        <w:numPr>
          <w:ilvl w:val="1"/>
          <w:numId w:val="1004"/>
        </w:numPr>
        <w:pStyle w:val="Compact"/>
      </w:pPr>
      <w:r>
        <w:t xml:space="preserve">Illustrative Average Distance: 1,000 km</w:t>
      </w:r>
    </w:p>
    <w:p>
      <w:pPr>
        <w:numPr>
          <w:ilvl w:val="1"/>
          <w:numId w:val="1004"/>
        </w:numPr>
        <w:pStyle w:val="Compact"/>
      </w:pPr>
      <w:r>
        <w:t xml:space="preserve">Illustrative Product Weight for Components: 0.88 kg</w:t>
      </w:r>
    </w:p>
    <w:p>
      <w:pPr>
        <w:numPr>
          <w:ilvl w:val="1"/>
          <w:numId w:val="1004"/>
        </w:numPr>
        <w:pStyle w:val="Compact"/>
      </w:pPr>
      <w:r>
        <w:t xml:space="preserve">Emission Factor (Road Freight): 0.00008 kgCO2e/kgkm (0.08 kgCO2e/tkm)</w:t>
      </w:r>
    </w:p>
    <w:p>
      <w:pPr>
        <w:numPr>
          <w:ilvl w:val="0"/>
          <w:numId w:val="1003"/>
        </w:numPr>
        <w:pStyle w:val="Compact"/>
      </w:pPr>
      <w:r>
        <w:rPr>
          <w:bCs/>
          <w:b/>
        </w:rPr>
        <w:t xml:space="preserve">Main Transport (from Final Production Country China to Market in Europe):</w:t>
      </w:r>
    </w:p>
    <w:p>
      <w:pPr>
        <w:numPr>
          <w:ilvl w:val="1"/>
          <w:numId w:val="1005"/>
        </w:numPr>
        <w:pStyle w:val="Compact"/>
      </w:pPr>
      <w:r>
        <w:t xml:space="preserve">Mode: Sea Freight (illustrative, replacing \'Select Mode\')</w:t>
      </w:r>
    </w:p>
    <w:p>
      <w:pPr>
        <w:numPr>
          <w:ilvl w:val="1"/>
          <w:numId w:val="1005"/>
        </w:numPr>
        <w:pStyle w:val="Compact"/>
      </w:pPr>
      <w:r>
        <w:t xml:space="preserve">Distance: 10,000 km (illustrative, replacing \'oshoyzhspt\')</w:t>
      </w:r>
    </w:p>
    <w:p>
      <w:pPr>
        <w:numPr>
          <w:ilvl w:val="1"/>
          <w:numId w:val="1005"/>
        </w:numPr>
        <w:pStyle w:val="Compact"/>
      </w:pPr>
      <w:r>
        <w:t xml:space="preserve">Illustrative Product Weight: 1 kg (functional unit - within the average range for electronics [29, 40, 44, 45, 51])</w:t>
      </w:r>
    </w:p>
    <w:p>
      <w:pPr>
        <w:numPr>
          <w:ilvl w:val="1"/>
          <w:numId w:val="1005"/>
        </w:numPr>
        <w:pStyle w:val="Compact"/>
      </w:pPr>
      <w:r>
        <w:t xml:space="preserve">Emission Factor (Sea Freight): 0.00001 kgCO2e/kgkm (0.01 kgCO2e/tkm)</w:t>
      </w:r>
    </w:p>
    <w:p>
      <w:pPr>
        <w:numPr>
          <w:ilvl w:val="0"/>
          <w:numId w:val="1003"/>
        </w:numPr>
        <w:pStyle w:val="Compact"/>
      </w:pPr>
      <w:r>
        <w:rPr>
          <w:bCs/>
          <w:b/>
        </w:rPr>
        <w:t xml:space="preserve">Last-Mile Delivery Channel (within Europe):</w:t>
      </w:r>
    </w:p>
    <w:p>
      <w:pPr>
        <w:numPr>
          <w:ilvl w:val="1"/>
          <w:numId w:val="1006"/>
        </w:numPr>
        <w:pStyle w:val="Compact"/>
      </w:pPr>
      <w:r>
        <w:t xml:space="preserve">Delivery Type: Parcel Service (illustrative, replacing \'Delivery Type\')</w:t>
      </w:r>
    </w:p>
    <w:p>
      <w:pPr>
        <w:numPr>
          <w:ilvl w:val="1"/>
          <w:numId w:val="1006"/>
        </w:numPr>
        <w:pStyle w:val="Compact"/>
      </w:pPr>
      <w:r>
        <w:t xml:space="preserve">Illustrative Average Distance: 500 km</w:t>
      </w:r>
    </w:p>
    <w:p>
      <w:pPr>
        <w:numPr>
          <w:ilvl w:val="1"/>
          <w:numId w:val="1006"/>
        </w:numPr>
        <w:pStyle w:val="Compact"/>
      </w:pPr>
      <w:r>
        <w:t xml:space="preserve">Illustrative Product Weight: 1 kg (functional unit)</w:t>
      </w:r>
    </w:p>
    <w:p>
      <w:pPr>
        <w:numPr>
          <w:ilvl w:val="1"/>
          <w:numId w:val="1006"/>
        </w:numPr>
        <w:pStyle w:val="Compact"/>
      </w:pPr>
      <w:r>
        <w:t xml:space="preserve">Emission Factor (Parcel Service): 0.0002 kgCO2e/kgkm</w:t>
      </w:r>
    </w:p>
    <w:bookmarkEnd w:id="31"/>
    <w:bookmarkStart w:id="32" w:name="Xc8d47610e025d3b1fe367d676386ecee874efa3"/>
    <w:p>
      <w:pPr>
        <w:pStyle w:val="Heading3"/>
      </w:pPr>
      <w:r>
        <w:t xml:space="preserve">2.4 Use Phase (Scope 3, Category 11: Use of sold products)</w:t>
      </w:r>
    </w:p>
    <w:p>
      <w:pPr>
        <w:pStyle w:val="FirstParagraph"/>
      </w:pPr>
      <w:r>
        <w:t xml:space="preserve">The energy consumed during the product\'s operational life contributes significantly to its footprint.</w:t>
      </w:r>
      <w:r>
        <w:t xml:space="preserve"> </w:t>
      </w:r>
      <w:r>
        <w:t xml:space="preserve">Illustrative parameters for the use phase include:</w:t>
      </w:r>
    </w:p>
    <w:p>
      <w:pPr>
        <w:numPr>
          <w:ilvl w:val="0"/>
          <w:numId w:val="1007"/>
        </w:numPr>
        <w:pStyle w:val="Compact"/>
      </w:pPr>
      <w:r>
        <w:rPr>
          <w:bCs/>
          <w:b/>
        </w:rPr>
        <w:t xml:space="preserve">Product Lifespan:</w:t>
      </w:r>
      <w:r>
        <w:t xml:space="preserve"> </w:t>
      </w:r>
      <w:r>
        <w:t xml:space="preserve">5 years (illustrative, replacing \'pzinpudqst\')</w:t>
      </w:r>
    </w:p>
    <w:p>
      <w:pPr>
        <w:numPr>
          <w:ilvl w:val="0"/>
          <w:numId w:val="1007"/>
        </w:numPr>
        <w:pStyle w:val="Compact"/>
      </w:pPr>
      <w:r>
        <w:rPr>
          <w:bCs/>
          <w:b/>
        </w:rPr>
        <w:t xml:space="preserve">Energy Consumption in Use:</w:t>
      </w:r>
      <w:r>
        <w:t xml:space="preserve"> </w:t>
      </w:r>
      <w:r>
        <w:t xml:space="preserve">50 kWh/year (illustrative, replacing \'diurgdmzfy\')</w:t>
      </w:r>
    </w:p>
    <w:p>
      <w:pPr>
        <w:numPr>
          <w:ilvl w:val="0"/>
          <w:numId w:val="1007"/>
        </w:numPr>
        <w:pStyle w:val="Compact"/>
      </w:pPr>
      <w:r>
        <w:t xml:space="preserve">An illustrative average grid electricity emission factor of 0.3 kgCO2e/kWh (Europe average) is assumed for the use phase.</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The end-of-life treatment impacts are considered, accounting for circular economy initiatives:</w:t>
      </w:r>
    </w:p>
    <w:p>
      <w:pPr>
        <w:numPr>
          <w:ilvl w:val="0"/>
          <w:numId w:val="1008"/>
        </w:numPr>
        <w:pStyle w:val="Compact"/>
      </w:pPr>
      <w:r>
        <w:rPr>
          <w:bCs/>
          <w:b/>
        </w:rPr>
        <w:t xml:space="preserve">Recyclability Percentage:</w:t>
      </w:r>
      <w:r>
        <w:t xml:space="preserve"> </w:t>
      </w:r>
      <w:r>
        <w:t xml:space="preserve">85% (illustrative, replacing \'muhjipxsgt\')</w:t>
      </w:r>
    </w:p>
    <w:p>
      <w:pPr>
        <w:numPr>
          <w:ilvl w:val="0"/>
          <w:numId w:val="1008"/>
        </w:numPr>
        <w:pStyle w:val="Compact"/>
      </w:pPr>
      <w:r>
        <w:rPr>
          <w:bCs/>
          <w:b/>
        </w:rPr>
        <w:t xml:space="preserve">Circular/Take-back Programs:</w:t>
      </w:r>
      <w:r>
        <w:t xml:space="preserve"> </w:t>
      </w:r>
      <w:r>
        <w:t xml:space="preserve">Yes, an established product take-back program is in place (illustrative, replacing \'grxkpzvsig\').</w:t>
      </w:r>
    </w:p>
    <w:p>
      <w:pPr>
        <w:pStyle w:val="FirstParagraph"/>
      </w:pPr>
      <w:r>
        <w:t xml:space="preserve">Illustrative emission factors for landfill (1.0 kgCO2e/kg) and recycling avoided burden (-2.0 kgCO2e/kg) are applied.</w:t>
      </w:r>
    </w:p>
    <w:p>
      <w:r>
        <w:pict>
          <v:rect style="width:0;height:1.5pt" o:hralign="center" o:hrstd="t" o:hr="t"/>
        </w:pict>
      </w:r>
    </w:p>
    <w:bookmarkEnd w:id="33"/>
    <w:bookmarkEnd w:id="34"/>
    <w:bookmarkStart w:id="38" w:name="X2c62247db19834934c44c209ad423fe06ba5c64"/>
    <w:p>
      <w:pPr>
        <w:pStyle w:val="Heading2"/>
      </w:pPr>
      <w:r>
        <w:t xml:space="preserve">3. Calculation of Emissions (Activity * Emission Factor = CO2e)</w:t>
      </w:r>
    </w:p>
    <w:p>
      <w:pPr>
        <w:pStyle w:val="FirstParagraph"/>
      </w:pPr>
      <w:r>
        <w:t xml:space="preserve">The total Product Carbon Footprint (PCF) for \'svsdzvvpsq\' is calculated by summing emissions across all lifecycle stages [12].</w:t>
      </w:r>
      <w:r>
        <w:t xml:space="preserve"> </w:t>
      </w:r>
      <w:r>
        <w:t xml:space="preserve">All calculations are performed using the illustrative data points and emission factors mentioned above.</w:t>
      </w:r>
    </w:p>
    <w:bookmarkStart w:id="35" w:name="Xbf996a6fba562fd9142afd294a2f42304c03bbe"/>
    <w:p>
      <w:pPr>
        <w:pStyle w:val="Heading3"/>
      </w:pPr>
      <w:r>
        <w:t xml:space="preserve">3.1 Emissions Breakdown by Lifecycle Stage and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 (Illustrative)</w:t>
            </w:r>
          </w:p>
        </w:tc>
        <w:tc>
          <w:tcPr/>
          <w:p>
            <w:pPr>
              <w:pStyle w:val="Compact"/>
              <w:jc w:val="left"/>
            </w:pPr>
            <w:r>
              <w:t xml:space="preserve">CO2e (kg) per Functional Unit</w:t>
            </w:r>
          </w:p>
        </w:tc>
      </w:tr>
      <w:tr>
        <w:tc>
          <w:tcPr/>
          <w:p>
            <w:pPr>
              <w:pStyle w:val="Compact"/>
              <w:jc w:val="left"/>
            </w:pPr>
            <w:r>
              <w:rPr>
                <w:bCs/>
                <w:b/>
              </w:rPr>
              <w:t xml:space="preserve">Materials (from BOM)</w:t>
            </w:r>
          </w:p>
        </w:tc>
        <w:tc>
          <w:tcPr/>
          <w:p>
            <w:pPr>
              <w:pStyle w:val="Compact"/>
              <w:jc w:val="left"/>
            </w:pPr>
            <w:r>
              <w:t xml:space="preserve">Scope 3, Cat 1 [2, 6]</w:t>
            </w:r>
          </w:p>
        </w:tc>
        <w:tc>
          <w:tcPr/>
          <w:p>
            <w:pPr>
              <w:pStyle w:val="Compact"/>
              <w:jc w:val="left"/>
            </w:pPr>
            <w:r>
              <w:t xml:space="preserve">Sum of "Total Carbon" from illustrative BOM.</w:t>
            </w:r>
          </w:p>
        </w:tc>
        <w:tc>
          <w:tcPr/>
          <w:p>
            <w:pPr>
              <w:pStyle w:val="Compact"/>
              <w:jc w:val="left"/>
            </w:pPr>
            <w:r>
              <w:t xml:space="preserve">5.626</w:t>
            </w:r>
          </w:p>
        </w:tc>
      </w:tr>
      <w:tr>
        <w:tc>
          <w:tcPr/>
          <w:p>
            <w:pPr>
              <w:pStyle w:val="Compact"/>
              <w:jc w:val="left"/>
            </w:pPr>
            <w:r>
              <w:rPr>
                <w:bCs/>
                <w:b/>
              </w:rPr>
              <w:t xml:space="preserve">Production Energy</w:t>
            </w:r>
          </w:p>
        </w:tc>
        <w:tc>
          <w:tcPr/>
          <w:p>
            <w:pPr>
              <w:pStyle w:val="Compact"/>
              <w:jc w:val="left"/>
            </w:pPr>
            <w:r>
              <w:t xml:space="preserve">Scope 2 [2, 6, 18]</w:t>
            </w:r>
          </w:p>
        </w:tc>
        <w:tc>
          <w:tcPr/>
          <w:p>
            <w:pPr>
              <w:pStyle w:val="Compact"/>
              <w:jc w:val="left"/>
            </w:pPr>
            <w:r>
              <w:t xml:space="preserve">(1 - 0.70) * 10 kWh/unit * 0.5 kgCO2e/kWh</w:t>
            </w:r>
          </w:p>
        </w:tc>
        <w:tc>
          <w:tcPr/>
          <w:p>
            <w:pPr>
              <w:pStyle w:val="Compact"/>
              <w:jc w:val="left"/>
            </w:pPr>
            <w:r>
              <w:t xml:space="preserve">1.500</w:t>
            </w:r>
          </w:p>
        </w:tc>
      </w:tr>
      <w:tr>
        <w:tc>
          <w:tcPr/>
          <w:p>
            <w:pPr>
              <w:pStyle w:val="Compact"/>
              <w:jc w:val="left"/>
            </w:pPr>
            <w:r>
              <w:rPr>
                <w:bCs/>
                <w:b/>
              </w:rPr>
              <w:t xml:space="preserve">Upstream Transport (Components)</w:t>
            </w:r>
          </w:p>
        </w:tc>
        <w:tc>
          <w:tcPr/>
          <w:p>
            <w:pPr>
              <w:pStyle w:val="Compact"/>
              <w:jc w:val="left"/>
            </w:pPr>
            <w:r>
              <w:t xml:space="preserve">Scope 3, Cat 4 [2, 9]</w:t>
            </w:r>
          </w:p>
        </w:tc>
        <w:tc>
          <w:tcPr/>
          <w:p>
            <w:pPr>
              <w:pStyle w:val="Compact"/>
              <w:jc w:val="left"/>
            </w:pPr>
            <w:r>
              <w:t xml:space="preserve">0.88 kg * 1000 km * 0.00008 kgCO2e/kgkm</w:t>
            </w:r>
          </w:p>
        </w:tc>
        <w:tc>
          <w:tcPr/>
          <w:p>
            <w:pPr>
              <w:pStyle w:val="Compact"/>
              <w:jc w:val="left"/>
            </w:pPr>
            <w:r>
              <w:t xml:space="preserve">0.070</w:t>
            </w:r>
          </w:p>
        </w:tc>
      </w:tr>
      <w:tr>
        <w:tc>
          <w:tcPr/>
          <w:p>
            <w:pPr>
              <w:pStyle w:val="Compact"/>
              <w:jc w:val="left"/>
            </w:pPr>
            <w:r>
              <w:rPr>
                <w:bCs/>
                <w:b/>
              </w:rPr>
              <w:t xml:space="preserve">Main Transport (China to EU)</w:t>
            </w:r>
          </w:p>
        </w:tc>
        <w:tc>
          <w:tcPr/>
          <w:p>
            <w:pPr>
              <w:pStyle w:val="Compact"/>
              <w:jc w:val="left"/>
            </w:pPr>
            <w:r>
              <w:t xml:space="preserve">Scope 3, Cat 9 [2, 9]</w:t>
            </w:r>
          </w:p>
        </w:tc>
        <w:tc>
          <w:tcPr/>
          <w:p>
            <w:pPr>
              <w:pStyle w:val="Compact"/>
              <w:jc w:val="left"/>
            </w:pPr>
            <w:r>
              <w:t xml:space="preserve">1 kg * 10,000 km * 0.00001 kgCO2e/kgkm</w:t>
            </w:r>
          </w:p>
        </w:tc>
        <w:tc>
          <w:tcPr/>
          <w:p>
            <w:pPr>
              <w:pStyle w:val="Compact"/>
              <w:jc w:val="left"/>
            </w:pPr>
            <w:r>
              <w:t xml:space="preserve">0.100</w:t>
            </w:r>
          </w:p>
        </w:tc>
      </w:tr>
      <w:tr>
        <w:tc>
          <w:tcPr/>
          <w:p>
            <w:pPr>
              <w:pStyle w:val="Compact"/>
              <w:jc w:val="left"/>
            </w:pPr>
            <w:r>
              <w:rPr>
                <w:bCs/>
                <w:b/>
              </w:rPr>
              <w:t xml:space="preserve">Last-Mile Delivery</w:t>
            </w:r>
          </w:p>
        </w:tc>
        <w:tc>
          <w:tcPr/>
          <w:p>
            <w:pPr>
              <w:pStyle w:val="Compact"/>
              <w:jc w:val="left"/>
            </w:pPr>
            <w:r>
              <w:t xml:space="preserve">Scope 3, Cat 9 [2, 9]</w:t>
            </w:r>
          </w:p>
        </w:tc>
        <w:tc>
          <w:tcPr/>
          <w:p>
            <w:pPr>
              <w:pStyle w:val="Compact"/>
              <w:jc w:val="left"/>
            </w:pPr>
            <w:r>
              <w:t xml:space="preserve">1 kg * 500 km * 0.0002 kgCO2e/kgkm</w:t>
            </w:r>
          </w:p>
        </w:tc>
        <w:tc>
          <w:tcPr/>
          <w:p>
            <w:pPr>
              <w:pStyle w:val="Compact"/>
              <w:jc w:val="left"/>
            </w:pPr>
            <w:r>
              <w:t xml:space="preserve">0.100</w:t>
            </w:r>
          </w:p>
        </w:tc>
      </w:tr>
      <w:tr>
        <w:tc>
          <w:tcPr/>
          <w:p>
            <w:pPr>
              <w:pStyle w:val="Compact"/>
              <w:jc w:val="left"/>
            </w:pPr>
            <w:r>
              <w:rPr>
                <w:bCs/>
                <w:b/>
              </w:rPr>
              <w:t xml:space="preserve">Use Phase Energy</w:t>
            </w:r>
          </w:p>
        </w:tc>
        <w:tc>
          <w:tcPr/>
          <w:p>
            <w:pPr>
              <w:pStyle w:val="Compact"/>
              <w:jc w:val="left"/>
            </w:pPr>
            <w:r>
              <w:t xml:space="preserve">Scope 3, Cat 11 [2, 6]</w:t>
            </w:r>
          </w:p>
        </w:tc>
        <w:tc>
          <w:tcPr/>
          <w:p>
            <w:pPr>
              <w:pStyle w:val="Compact"/>
              <w:jc w:val="left"/>
            </w:pPr>
            <w:r>
              <w:t xml:space="preserve">5 years * 50 kWh/year * 0.3 kgCO2e/kWh</w:t>
            </w:r>
          </w:p>
        </w:tc>
        <w:tc>
          <w:tcPr/>
          <w:p>
            <w:pPr>
              <w:pStyle w:val="Compact"/>
              <w:jc w:val="left"/>
            </w:pPr>
            <w:r>
              <w:t xml:space="preserve">75.000</w:t>
            </w:r>
          </w:p>
        </w:tc>
      </w:tr>
      <w:tr>
        <w:tc>
          <w:tcPr/>
          <w:p>
            <w:pPr>
              <w:pStyle w:val="Compact"/>
              <w:jc w:val="left"/>
            </w:pPr>
            <w:r>
              <w:rPr>
                <w:bCs/>
                <w:b/>
              </w:rPr>
              <w:t xml:space="preserve">End-of-Life (EoL)</w:t>
            </w:r>
          </w:p>
        </w:tc>
        <w:tc>
          <w:tcPr/>
          <w:p>
            <w:pPr>
              <w:pStyle w:val="Compact"/>
              <w:jc w:val="left"/>
            </w:pPr>
            <w:r>
              <w:t xml:space="preserve">Scope 3, Cat 12 [2, 6]</w:t>
            </w:r>
          </w:p>
        </w:tc>
        <w:tc>
          <w:tcPr/>
          <w:p>
            <w:pPr>
              <w:pStyle w:val="Compact"/>
              <w:jc w:val="left"/>
            </w:pPr>
            <w:r>
              <w:t xml:space="preserve">(0.15 * 0.88 kg * 1.0 kgCO2e/kg) + (0.85 * 0.88 kg * -2.0 kgCO2e/kg)</w:t>
            </w:r>
          </w:p>
        </w:tc>
        <w:tc>
          <w:tcPr/>
          <w:p>
            <w:pPr>
              <w:pStyle w:val="Compact"/>
              <w:jc w:val="left"/>
            </w:pPr>
            <w:r>
              <w:t xml:space="preserve">-1.364</w:t>
            </w:r>
          </w:p>
        </w:tc>
      </w:tr>
      <w:tr>
        <w:tc>
          <w:tcPr>
            <w:gridSpan w:val="3"/>
          </w:tcPr>
          <w:p>
            <w:pPr>
              <w:pStyle w:val="Compact"/>
              <w:jc w:val="right"/>
            </w:pPr>
            <w:r>
              <w:t xml:space="preserve">TOTAL PRODUCT CARBON FOOTPRINT (PCF):</w:t>
            </w:r>
          </w:p>
        </w:tc>
        <w:tc>
          <w:tcPr/>
          <w:p>
            <w:pPr>
              <w:pStyle w:val="Compact"/>
              <w:jc w:val="left"/>
            </w:pPr>
            <w:r>
              <w:t xml:space="preserve">81.032</w:t>
            </w:r>
          </w:p>
        </w:tc>
      </w:tr>
    </w:tbl>
    <w:p>
      <w:pPr>
        <w:pStyle w:val="BodyText"/>
      </w:pPr>
      <w:r>
        <w:t xml:space="preserve">*Note: All emission factors are illustrative, sourced from assumed industry-standard databases (e.g., Ecoinvent, DEFRA) [10, 16, 17, 19, 23, 24, 25, 27]</w:t>
      </w:r>
      <w:r>
        <w:t xml:space="preserve"> </w:t>
      </w:r>
      <w:r>
        <w:t xml:space="preserve">where specific factors were not provided. These are subject to refinement with primary data.</w:t>
      </w:r>
    </w:p>
    <w:bookmarkEnd w:id="35"/>
    <w:bookmarkStart w:id="36" w:name="X5a4f551c90074bc557f30e0af419a5f70a48401"/>
    <w:p>
      <w:pPr>
        <w:pStyle w:val="Heading3"/>
      </w:pPr>
      <w:r>
        <w:t xml:space="preserve">3.2 Land Sector and Removals (LSR) Standard Application</w:t>
      </w:r>
    </w:p>
    <w:p>
      <w:pPr>
        <w:pStyle w:val="FirstParagraph"/>
      </w:pPr>
      <w:r>
        <w:t xml:space="preserve">In accordance with the 2026 LSR Standard, which became effective January 1, 2027 [3, 4, 8, 13, 20], the potential for land-use change emissions or carbon removals</w:t>
      </w:r>
      <w:r>
        <w:t xml:space="preserve"> </w:t>
      </w:r>
      <w:r>
        <w:t xml:space="preserve">associated with \'svsdzvvpsq\' was assessed. The LSR Standard provides accounting requirements for land sector emissions and removals, particularly for entities with significant land-based activities [3, 4, 8, 13].</w:t>
      </w:r>
      <w:r>
        <w:t xml:space="preserve"> </w:t>
      </w:r>
      <w:r>
        <w:t xml:space="preserve">Given the illustrative BOM and product nature (e.g., electronic device),</w:t>
      </w:r>
      <w:r>
        <w:t xml:space="preserve"> </w:t>
      </w:r>
      <w:r>
        <w:t xml:space="preserve">direct land-use change impacts (e.g., from bio-based feedstocks causing deforestation) are assumed to be negligible</w:t>
      </w:r>
      <w:r>
        <w:t xml:space="preserve"> </w:t>
      </w:r>
      <w:r>
        <w:t xml:space="preserve">in this analysis. However, for products incorporating significant bio-based materials or having direct land-use implications,</w:t>
      </w:r>
      <w:r>
        <w:t xml:space="preserve"> </w:t>
      </w:r>
      <w:r>
        <w:t xml:space="preserve">a detailed LSR assessment would be paramount to quantify specific removals or emissions.</w:t>
      </w:r>
    </w:p>
    <w:bookmarkEnd w:id="36"/>
    <w:bookmarkStart w:id="37" w:name="scope-3-coverage-compliance"/>
    <w:p>
      <w:pPr>
        <w:pStyle w:val="Heading3"/>
      </w:pPr>
      <w:r>
        <w:t xml:space="preserve">3.3 Scope 3 Coverage Compliance</w:t>
      </w:r>
    </w:p>
    <w:p>
      <w:pPr>
        <w:pStyle w:val="FirstParagraph"/>
      </w:pPr>
      <w:r>
        <w:t xml:space="preserve">This analysis provides broad coverage of Scope 3 emissions, including purchased goods and services (materials),</w:t>
      </w:r>
      <w:r>
        <w:t xml:space="preserve"> </w:t>
      </w:r>
      <w:r>
        <w:t xml:space="preserve">upstream and downstream transportation, use of sold products, and end-of-life treatment.</w:t>
      </w:r>
      <w:r>
        <w:t xml:space="preserve"> </w:t>
      </w:r>
      <w:r>
        <w:t xml:space="preserve">For many companies, Scope 3 emissions represent 70-90% of their total carbon footprint [9, 14].</w:t>
      </w:r>
      <w:r>
        <w:t xml:space="preserve"> </w:t>
      </w:r>
      <w:r>
        <w:t xml:space="preserve">Based on the illustrative data and stages considered, this approach aims to achieve the targeted</w:t>
      </w:r>
      <w:r>
        <w:t xml:space="preserve"> </w:t>
      </w:r>
      <w:r>
        <w:rPr>
          <w:bCs/>
          <w:b/>
        </w:rPr>
        <w:t xml:space="preserve">95% coverage for Scope 3 reporting</w:t>
      </w:r>
      <w:r>
        <w:t xml:space="preserve"> </w:t>
      </w:r>
      <w:r>
        <w:t xml:space="preserve">[5, 7, 15, 21, 22], as required by future GHG Protocol updates.</w:t>
      </w:r>
      <w:r>
        <w:t xml:space="preserve"> </w:t>
      </w:r>
      <w:r>
        <w:t xml:space="preserve">Further detailed data collection for specific indirect emissions (e.g., business travel, employee commuting)</w:t>
      </w:r>
      <w:r>
        <w:t xml:space="preserve"> </w:t>
      </w:r>
      <w:r>
        <w:t xml:space="preserve">would strengthen this coverage for corporate-level reporting.</w:t>
      </w:r>
    </w:p>
    <w:p>
      <w:r>
        <w:pict>
          <v:rect style="width:0;height:1.5pt" o:hralign="center" o:hrstd="t" o:hr="t"/>
        </w:pict>
      </w:r>
    </w:p>
    <w:bookmarkEnd w:id="37"/>
    <w:bookmarkEnd w:id="38"/>
    <w:bookmarkStart w:id="41" w:name="review-report-hotspots-and-reliability"/>
    <w:p>
      <w:pPr>
        <w:pStyle w:val="Heading2"/>
      </w:pPr>
      <w:r>
        <w:t xml:space="preserve">4. Review &amp; Report: Hotspots and Reliability</w:t>
      </w:r>
    </w:p>
    <w:bookmarkStart w:id="39" w:name="carbon-footprint-hotspots"/>
    <w:p>
      <w:pPr>
        <w:pStyle w:val="Heading3"/>
      </w:pPr>
      <w:r>
        <w:t xml:space="preserve">4.1 Carbon Footprint Hotspots</w:t>
      </w:r>
    </w:p>
    <w:p>
      <w:pPr>
        <w:pStyle w:val="FirstParagraph"/>
      </w:pPr>
      <w:r>
        <w:t xml:space="preserve">Based on this analysis, the primary carbon hotspots for \'svsdzvvpsq\' are:</w:t>
      </w:r>
    </w:p>
    <w:p>
      <w:pPr>
        <w:numPr>
          <w:ilvl w:val="0"/>
          <w:numId w:val="1009"/>
        </w:numPr>
        <w:pStyle w:val="Compact"/>
      </w:pPr>
      <w:r>
        <w:rPr>
          <w:bCs/>
          <w:b/>
        </w:rPr>
        <w:t xml:space="preserve">Use Phase (Approx. 93% of total PCF):</w:t>
      </w:r>
      <w:r>
        <w:t xml:space="preserve"> </w:t>
      </w:r>
      <w:r>
        <w:t xml:space="preserve">The energy consumption during the product\'s lifespan is by far the largest contributor to its carbon footprint. This highlights the critical importance of energy efficiency during product design and user behavior during operation.</w:t>
      </w:r>
    </w:p>
    <w:p>
      <w:pPr>
        <w:numPr>
          <w:ilvl w:val="0"/>
          <w:numId w:val="1009"/>
        </w:numPr>
        <w:pStyle w:val="Compact"/>
      </w:pPr>
      <w:r>
        <w:rPr>
          <w:bCs/>
          <w:b/>
        </w:rPr>
        <w:t xml:space="preserve">Material Acquisition (Approx. 7% of total PCF):</w:t>
      </w:r>
      <w:r>
        <w:t xml:space="preserve"> </w:t>
      </w:r>
      <w:r>
        <w:t xml:space="preserve">The production of raw materials, particularly aluminum and plastics, represents the second most significant impact. Opting for low-carbon materials, recycled content, and efficient material use can significantly reduce this impact.</w:t>
      </w:r>
    </w:p>
    <w:p>
      <w:pPr>
        <w:numPr>
          <w:ilvl w:val="0"/>
          <w:numId w:val="1009"/>
        </w:numPr>
        <w:pStyle w:val="Compact"/>
      </w:pPr>
      <w:r>
        <w:rPr>
          <w:bCs/>
          <w:b/>
        </w:rPr>
        <w:t xml:space="preserve">Production Energy (Approx. 2% of total PCF):</w:t>
      </w:r>
      <w:r>
        <w:t xml:space="preserve"> </w:t>
      </w:r>
      <w:r>
        <w:t xml:space="preserve">While significant, the impact from production energy is relatively lower due to the high percentage of renewable energy usage (70%). Further decarbonization of the energy mix will yield additional benefits.</w:t>
      </w:r>
    </w:p>
    <w:p>
      <w:pPr>
        <w:numPr>
          <w:ilvl w:val="0"/>
          <w:numId w:val="1009"/>
        </w:numPr>
        <w:pStyle w:val="Compact"/>
      </w:pPr>
      <w:r>
        <w:rPr>
          <w:bCs/>
          <w:b/>
        </w:rPr>
        <w:t xml:space="preserve">End-of-Life (Net Credit):</w:t>
      </w:r>
      <w:r>
        <w:t xml:space="preserve"> </w:t>
      </w:r>
      <w:r>
        <w:t xml:space="preserve">The high recyclability and take-back programs result in a net carbon credit, indicating effective circularity strategies. Enhancing these programs can further increase positive impacts.</w:t>
      </w:r>
    </w:p>
    <w:bookmarkEnd w:id="39"/>
    <w:bookmarkStart w:id="40" w:name="data-reliability-and-limitations"/>
    <w:p>
      <w:pPr>
        <w:pStyle w:val="Heading3"/>
      </w:pPr>
      <w:r>
        <w:t xml:space="preserve">4.2 Data Reliability and Limitations</w:t>
      </w:r>
    </w:p>
    <w:p>
      <w:pPr>
        <w:pStyle w:val="FirstParagraph"/>
      </w:pPr>
      <w:r>
        <w:t xml:space="preserve">This report provides a robust PCF analysis based on the GHG Protocol [11, 27, 28]. However, it\'s important to acknowledge:</w:t>
      </w:r>
    </w:p>
    <w:p>
      <w:pPr>
        <w:numPr>
          <w:ilvl w:val="0"/>
          <w:numId w:val="1010"/>
        </w:numPr>
        <w:pStyle w:val="Compact"/>
      </w:pPr>
      <w:r>
        <w:rPr>
          <w:bCs/>
          <w:b/>
        </w:rPr>
        <w:t xml:space="preserve">Illustrative Data:</w:t>
      </w:r>
      <w:r>
        <w:t xml:space="preserve"> </w:t>
      </w:r>
      <w:r>
        <w:t xml:space="preserve">Several key parameters were provided as placeholder strings. Illustrative, industry-standard values were used for these, along with generic emission factors from publicly available databases (e.g., Ecoinvent, DEFRA) [10, 16, 17, 19, 23, 24, 25, 27]. Actual emissions may vary with primary, product-specific data [12].</w:t>
      </w:r>
    </w:p>
    <w:p>
      <w:pPr>
        <w:numPr>
          <w:ilvl w:val="0"/>
          <w:numId w:val="1010"/>
        </w:numPr>
        <w:pStyle w:val="Compact"/>
      </w:pPr>
      <w:r>
        <w:rPr>
          <w:bCs/>
          <w:b/>
        </w:rPr>
        <w:t xml:space="preserve">Emission Factor Specificity:</w:t>
      </w:r>
      <w:r>
        <w:t xml:space="preserve"> </w:t>
      </w:r>
      <w:r>
        <w:t xml:space="preserve">Generic emission factors were used where product- or region-specific factors were unavailable. Higher accuracy would be achieved with localized and supplier-specific emission data.</w:t>
      </w:r>
    </w:p>
    <w:p>
      <w:pPr>
        <w:numPr>
          <w:ilvl w:val="0"/>
          <w:numId w:val="1010"/>
        </w:numPr>
        <w:pStyle w:val="Compact"/>
      </w:pPr>
      <w:r>
        <w:rPr>
          <w:bCs/>
          <w:b/>
        </w:rPr>
        <w:t xml:space="preserve">LSR Standard:</w:t>
      </w:r>
      <w:r>
        <w:t xml:space="preserve"> </w:t>
      </w:r>
      <w:r>
        <w:t xml:space="preserve">Direct land-use change impacts were assumed negligible for this product. A deeper dive into specific material origins might reveal minor LSR implications not captured. The accompanying LSR Guidance, expected in Q2 2026, will provide further implementation support [3, 4, 8, 13, 20].</w:t>
      </w:r>
    </w:p>
    <w:p>
      <w:r>
        <w:pict>
          <v:rect style="width:0;height:1.5pt" o:hralign="center" o:hrstd="t" o:hr="t"/>
        </w:pict>
      </w:r>
    </w:p>
    <w:bookmarkEnd w:id="40"/>
    <w:bookmarkEnd w:id="41"/>
    <w:bookmarkStart w:id="42" w:name="recommendations-for-emission-reduction"/>
    <w:p>
      <w:pPr>
        <w:pStyle w:val="Heading2"/>
      </w:pPr>
      <w:r>
        <w:t xml:space="preserve">5. Recommendations for Emission Reduction</w:t>
      </w:r>
    </w:p>
    <w:p>
      <w:pPr>
        <w:pStyle w:val="FirstParagraph"/>
      </w:pPr>
      <w:r>
        <w:t xml:space="preserve">To further reduce the carbon footprint of \'svsdzvvpsq\', ulwzusdytj should consider:</w:t>
      </w:r>
    </w:p>
    <w:p>
      <w:pPr>
        <w:numPr>
          <w:ilvl w:val="0"/>
          <w:numId w:val="1011"/>
        </w:numPr>
        <w:pStyle w:val="Compact"/>
      </w:pPr>
      <w:r>
        <w:rPr>
          <w:bCs/>
          <w:b/>
        </w:rPr>
        <w:t xml:space="preserve">Enhance Use Phase Efficiency:</w:t>
      </w:r>
    </w:p>
    <w:p>
      <w:pPr>
        <w:numPr>
          <w:ilvl w:val="1"/>
          <w:numId w:val="1012"/>
        </w:numPr>
        <w:pStyle w:val="Compact"/>
      </w:pPr>
      <w:r>
        <w:t xml:space="preserve">Invest in research and development for ultra-low power components and software optimization to minimize energy consumption during use.</w:t>
      </w:r>
    </w:p>
    <w:p>
      <w:pPr>
        <w:numPr>
          <w:ilvl w:val="1"/>
          <w:numId w:val="1012"/>
        </w:numPr>
        <w:pStyle w:val="Compact"/>
      </w:pPr>
      <w:r>
        <w:t xml:space="preserve">Explore smart features that automatically reduce power usage when not in active use.</w:t>
      </w:r>
    </w:p>
    <w:p>
      <w:pPr>
        <w:numPr>
          <w:ilvl w:val="1"/>
          <w:numId w:val="1012"/>
        </w:numPr>
        <w:pStyle w:val="Compact"/>
      </w:pPr>
      <w:r>
        <w:t xml:space="preserve">Educate end-users on energy-saving practices during product operation.</w:t>
      </w:r>
    </w:p>
    <w:p>
      <w:pPr>
        <w:numPr>
          <w:ilvl w:val="0"/>
          <w:numId w:val="1011"/>
        </w:numPr>
        <w:pStyle w:val="Compact"/>
      </w:pPr>
      <w:r>
        <w:rPr>
          <w:bCs/>
          <w:b/>
        </w:rPr>
        <w:t xml:space="preserve">Optimize Material Sourcing:</w:t>
      </w:r>
    </w:p>
    <w:p>
      <w:pPr>
        <w:numPr>
          <w:ilvl w:val="1"/>
          <w:numId w:val="1013"/>
        </w:numPr>
        <w:pStyle w:val="Compact"/>
      </w:pPr>
      <w:r>
        <w:t xml:space="preserve">Prioritize suppliers offering materials with lower embodied carbon, certified recycled content, or sustainable sourcing practices.</w:t>
      </w:r>
    </w:p>
    <w:p>
      <w:pPr>
        <w:numPr>
          <w:ilvl w:val="1"/>
          <w:numId w:val="1013"/>
        </w:numPr>
        <w:pStyle w:val="Compact"/>
      </w:pPr>
      <w:r>
        <w:t xml:space="preserve">Investigate opportunities for material light-weighting and design for disassembly to facilitate higher recycling rates.</w:t>
      </w:r>
    </w:p>
    <w:p>
      <w:pPr>
        <w:numPr>
          <w:ilvl w:val="0"/>
          <w:numId w:val="1011"/>
        </w:numPr>
        <w:pStyle w:val="Compact"/>
      </w:pPr>
      <w:r>
        <w:rPr>
          <w:bCs/>
          <w:b/>
        </w:rPr>
        <w:t xml:space="preserve">Further Decarbonize Production:</w:t>
      </w:r>
    </w:p>
    <w:p>
      <w:pPr>
        <w:numPr>
          <w:ilvl w:val="1"/>
          <w:numId w:val="1014"/>
        </w:numPr>
        <w:pStyle w:val="Compact"/>
      </w:pPr>
      <w:r>
        <w:t xml:space="preserve">Increase renewable energy usage at manufacturing facilities beyond the current 70%.</w:t>
      </w:r>
    </w:p>
    <w:p>
      <w:pPr>
        <w:numPr>
          <w:ilvl w:val="1"/>
          <w:numId w:val="1014"/>
        </w:numPr>
        <w:pStyle w:val="Compact"/>
      </w:pPr>
      <w:r>
        <w:t xml:space="preserve">Explore energy efficiency improvements within the manufacturing processes.</w:t>
      </w:r>
    </w:p>
    <w:p>
      <w:pPr>
        <w:numPr>
          <w:ilvl w:val="0"/>
          <w:numId w:val="1011"/>
        </w:numPr>
        <w:pStyle w:val="Compact"/>
      </w:pPr>
      <w:r>
        <w:rPr>
          <w:bCs/>
          <w:b/>
        </w:rPr>
        <w:t xml:space="preserve">Strengthen Circular Economy Initiatives:</w:t>
      </w:r>
    </w:p>
    <w:p>
      <w:pPr>
        <w:numPr>
          <w:ilvl w:val="1"/>
          <w:numId w:val="1015"/>
        </w:numPr>
        <w:pStyle w:val="Compact"/>
      </w:pPr>
      <w:r>
        <w:t xml:space="preserve">Expand and promote the existing take-back programs to maximize product recovery and material recycling.</w:t>
      </w:r>
    </w:p>
    <w:p>
      <w:pPr>
        <w:numPr>
          <w:ilvl w:val="1"/>
          <w:numId w:val="1015"/>
        </w:numPr>
        <w:pStyle w:val="Compact"/>
      </w:pPr>
      <w:r>
        <w:t xml:space="preserve">Investigate product-as-a-service models or repairability initiatives to extend product lifespans.</w:t>
      </w:r>
    </w:p>
    <w:p>
      <w:r>
        <w:pict>
          <v:rect style="width:0;height:1.5pt" o:hralign="center" o:hrstd="t" o:hr="t"/>
        </w:pict>
      </w:r>
    </w:p>
    <w:bookmarkEnd w:id="42"/>
    <w:bookmarkStart w:id="44" w:name="conclusion"/>
    <w:p>
      <w:pPr>
        <w:pStyle w:val="Heading2"/>
      </w:pPr>
      <w:r>
        <w:t xml:space="preserve">Conclusion</w:t>
      </w:r>
    </w:p>
    <w:p>
      <w:pPr>
        <w:pStyle w:val="FirstParagraph"/>
      </w:pPr>
      <w:r>
        <w:t xml:space="preserve">The Product Carbon Footprint analysis for \'svsdzvvpsq\' provides a comprehensive understanding of its environmental impact across its lifecycle.</w:t>
      </w:r>
      <w:r>
        <w:t xml:space="preserve"> </w:t>
      </w:r>
      <w:r>
        <w:t xml:space="preserve">With a total illustrative PCF of</w:t>
      </w:r>
      <w:r>
        <w:t xml:space="preserve"> </w:t>
      </w:r>
      <w:r>
        <w:rPr>
          <w:bCs/>
          <w:b/>
        </w:rPr>
        <w:t xml:space="preserve">81.032 kgCO2e</w:t>
      </w:r>
      <w:r>
        <w:t xml:space="preserve"> </w:t>
      </w:r>
      <w:r>
        <w:t xml:space="preserve">per functional unit, the use phase and material acquisition are identified as the primary drivers of emissions.</w:t>
      </w:r>
      <w:r>
        <w:t xml:space="preserve"> </w:t>
      </w:r>
      <w:r>
        <w:t xml:space="preserve">\'ulwzusdytj\' has a clear pathway for reducing its environmental footprint by focusing on energy efficiency, sustainable material sourcing, and further strengthening its circular economy programs.</w:t>
      </w:r>
      <w:r>
        <w:t xml:space="preserve"> </w:t>
      </w:r>
      <w:r>
        <w:t xml:space="preserve">This report, prepared by fqsvyvitfp, serves as a vital tool for strategic decision-making towards a more sustainable future.</w:t>
      </w:r>
    </w:p>
    <w:p>
      <w:pPr>
        <w:pStyle w:val="BodyText"/>
      </w:pPr>
      <w:r>
        <w:t xml:space="preserve">Confidential - Internal Use Only | Page</w:t>
      </w:r>
      <w:r>
        <w:t xml:space="preserve"> </w:t>
      </w:r>
      <w:bookmarkStart w:id="43" w:name="pageNumber"/>
      <w:bookmarkEnd w:id="43"/>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svsdzvvpsq</dc:title>
  <dc:creator/>
  <dc:description>Detailed Product Carbon Footprint (PCF) analysis for product svsdzvvpsq, conducted by Senior Sustainability Consultant fqsvyvitfp for ulwzusdytj, adhering to GHG Protocol standards including the 2026 LSR Update.</dc:description>
  <cp:keywords/>
  <dcterms:created xsi:type="dcterms:W3CDTF">2026-05-30T20:11:50Z</dcterms:created>
  <dcterms:modified xsi:type="dcterms:W3CDTF">2026-05-30T20:11:50Z</dcterms:modified>
</cp:coreProperties>
</file>

<file path=docProps/custom.xml><?xml version="1.0" encoding="utf-8"?>
<Properties xmlns="http://schemas.openxmlformats.org/officeDocument/2006/custom-properties" xmlns:vt="http://schemas.openxmlformats.org/officeDocument/2006/docPropsVTypes"/>
</file>