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svqrvflxhq</w:t>
      </w:r>
    </w:p>
    <w:bookmarkStart w:id="20" w:name="carboncalcpcf.com"/>
    <w:p>
      <w:pPr>
        <w:pStyle w:val="Heading1"/>
      </w:pPr>
      <w:r>
        <w:t xml:space="preserve">carboncalcpcf.com</w:t>
      </w:r>
    </w:p>
    <w:bookmarkEnd w:id="20"/>
    <w:bookmarkStart w:id="21" w:name="product-carbon-footprint-report"/>
    <w:p>
      <w:pPr>
        <w:pStyle w:val="Heading1"/>
      </w:pPr>
      <w:r>
        <w:t xml:space="preserve">Product Carbon Footprint Report</w:t>
      </w:r>
    </w:p>
    <w:p>
      <w:pPr>
        <w:pStyle w:val="FirstParagraph"/>
      </w:pPr>
      <w:r>
        <w:t xml:space="preserve">For Product: svqrvflxhq</w:t>
      </w:r>
    </w:p>
    <w:p>
      <w:pPr>
        <w:pStyle w:val="BodyText"/>
      </w:pPr>
      <w:r>
        <w:t xml:space="preserve">Protocol Data (Accounting Standard): GHG Protocol</w:t>
      </w:r>
    </w:p>
    <w:p>
      <w:pPr>
        <w:pStyle w:val="BodyText"/>
      </w:pPr>
      <w:r>
        <w:t xml:space="preserve">Name of the Company: urdneszzww</w:t>
      </w:r>
    </w:p>
    <w:p>
      <w:pPr>
        <w:pStyle w:val="BodyText"/>
      </w:pPr>
      <w:r>
        <w:t xml:space="preserve">Senior Sustainability Consultant: hvsggyqfes</w:t>
      </w:r>
    </w:p>
    <w:p>
      <w:pPr>
        <w:pStyle w:val="BodyText"/>
      </w:pPr>
      <w:r>
        <w:rPr>
          <w:iCs/>
          <w:i/>
        </w:rPr>
        <w:t xml:space="preserve">Disclaimer: This report is generated based on available data and industry standards. While every effort has been made to ensure accuracy, specific conditions and evolving methodologies may lead to variations.</w:t>
      </w:r>
    </w:p>
    <w:bookmarkEnd w:id="21"/>
    <w:bookmarkStart w:id="43" w:name="Xe55069056ee4468a75875fab3b3cb861e955e5d"/>
    <w:p>
      <w:pPr>
        <w:pStyle w:val="Heading1"/>
      </w:pPr>
      <w:r>
        <w:t xml:space="preserve">Product Carbon Footprint Report for svqrvflxhq</w:t>
      </w:r>
    </w:p>
    <w:p>
      <w:pPr>
        <w:pStyle w:val="FirstParagraph"/>
      </w:pPr>
      <w:r>
        <w:rPr>
          <w:bCs/>
          <w:b/>
        </w:rPr>
        <w:t xml:space="preserve">Generated Date:</w:t>
      </w:r>
      <w:r>
        <w:t xml:space="preserve"> </w:t>
      </w:r>
      <w:r>
        <w:t xml:space="preserve">June 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svqrvflxhq, manufactured by urdneszzww. Conducted by Senior Sustainability Consultant hvsggyqfes, this analysis strictly adheres to the GHG Protocol, incorporating the latest 2026 Land Sector and Removals (LSR) Standard update and ensuring over 95% coverage for Scope 3 emissions. The aim is to identify key emission hotspots across the product\'s lifecycle and provide actionable insights for sustainability improvements. The total Product Carbon Footprint for one functional unit of svqrvflxhq is calculated to be approximately 38.94 kg CO2e.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fundamental parameters for the Product Carbon Footprint (PCF) analysis of svqrvflxhq.</w:t>
      </w:r>
    </w:p>
    <w:p>
      <w:pPr>
        <w:numPr>
          <w:ilvl w:val="0"/>
          <w:numId w:val="1001"/>
        </w:numPr>
        <w:pStyle w:val="Compact"/>
      </w:pPr>
      <w:r>
        <w:rPr>
          <w:bCs/>
          <w:b/>
        </w:rPr>
        <w:t xml:space="preserve">Functional Unit:</w:t>
      </w:r>
      <w:r>
        <w:t xml:space="preserve"> </w:t>
      </w:r>
      <w:r>
        <w:t xml:space="preserve">1.0 unit of svqrvflxhq. This unit serves as the reference basis for all emission calculations, ensuring comparability and consistency.</w:t>
      </w:r>
    </w:p>
    <w:p>
      <w:pPr>
        <w:numPr>
          <w:ilvl w:val="0"/>
          <w:numId w:val="1001"/>
        </w:numPr>
        <w:pStyle w:val="Compact"/>
      </w:pPr>
      <w:r>
        <w:rPr>
          <w:bCs/>
          <w:b/>
        </w:rPr>
        <w:t xml:space="preserve">System Boundary:</w:t>
      </w:r>
      <w:r>
        <w:t xml:space="preserve"> </w:t>
      </w:r>
      <w:r>
        <w:t xml:space="preserve">factory_gate. This "cradle-to-gate" approach includes all emissions from raw material extraction, processing, and manufacturing, up to the point where the finished product leaves the factory. For a comprehensive PCF, significant downstream impacts (transport, use, and end-of-life) are also included in the analysis as per project requirements, extending beyond a strict \'factory_gate\' definition to a "cradle-to-grave" understanding.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standard provides the overarching framework for calculating and reporting product life cycle greenhouse gas emissions. The analysis further integrates the 2026 Land Sector and Removals (LSR) Standard for comprehensive land use and carbon removals accounting.</w:t>
      </w:r>
    </w:p>
    <w:p>
      <w:pPr>
        <w:numPr>
          <w:ilvl w:val="0"/>
          <w:numId w:val="1001"/>
        </w:numPr>
        <w:pStyle w:val="Compact"/>
      </w:pPr>
      <w:r>
        <w:rPr>
          <w:bCs/>
          <w:b/>
        </w:rPr>
        <w:t xml:space="preserve">Allocation:</w:t>
      </w:r>
      <w:r>
        <w:t xml:space="preserve"> </w:t>
      </w:r>
      <w:r>
        <w:t xml:space="preserve">For multi-output processes within the supply chain, emissions are allocated to the product svqrvflxhq based on mass. Where specific co-products or by-products are identified, economic allocation would be considered, but for this analysis, direct attribution is applied given the focus on a single product\'s lifecycle.</w:t>
      </w:r>
    </w:p>
    <w:p>
      <w:r>
        <w:pict>
          <v:rect style="width:0;height:1.5pt" o:hralign="center" o:hrstd="t" o:hr="t"/>
        </w:pict>
      </w:r>
    </w:p>
    <w:bookmarkEnd w:id="23"/>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points collected for the Product Carbon Footprint of svqrvflxhq. Emissions are categorized according to the GHG Protocol:</w:t>
      </w:r>
    </w:p>
    <w:p>
      <w:pPr>
        <w:numPr>
          <w:ilvl w:val="0"/>
          <w:numId w:val="1003"/>
        </w:numPr>
        <w:pStyle w:val="Compact"/>
      </w:pPr>
      <w:r>
        <w:rPr>
          <w:bCs/>
          <w:b/>
        </w:rPr>
        <w:t xml:space="preserve">Scope 1:</w:t>
      </w:r>
      <w:r>
        <w:t xml:space="preserve"> </w:t>
      </w:r>
      <w:r>
        <w:t xml:space="preserve">Direct GHG emissions from sources owned or controlled by urdneszzww.</w:t>
      </w:r>
    </w:p>
    <w:p>
      <w:pPr>
        <w:numPr>
          <w:ilvl w:val="0"/>
          <w:numId w:val="1003"/>
        </w:numPr>
        <w:pStyle w:val="Compact"/>
      </w:pPr>
      <w:r>
        <w:rPr>
          <w:bCs/>
          <w:b/>
        </w:rPr>
        <w:t xml:space="preserve">Scope 2:</w:t>
      </w:r>
      <w:r>
        <w:t xml:space="preserve"> </w:t>
      </w:r>
      <w:r>
        <w:t xml:space="preserve">Indirect GHG emissions from the generation of purchased energy consumed by urdneszzww.</w:t>
      </w:r>
    </w:p>
    <w:p>
      <w:pPr>
        <w:numPr>
          <w:ilvl w:val="0"/>
          <w:numId w:val="1003"/>
        </w:numPr>
        <w:pStyle w:val="Compact"/>
      </w:pPr>
      <w:r>
        <w:rPr>
          <w:bCs/>
          <w:b/>
        </w:rPr>
        <w:t xml:space="preserve">Scope 3:</w:t>
      </w:r>
      <w:r>
        <w:t xml:space="preserve"> </w:t>
      </w:r>
      <w:r>
        <w:t xml:space="preserve">All other indirect GHG emissions that occur in the value chain of urdneszzww, both upstream and downstream. This analysis aims for at least 95% coverage for Scope 3 reporting as per 2026 requirements.</w:t>
      </w:r>
    </w:p>
    <w:bookmarkStart w:id="24" w:name="X1198c8af25dd1a2ebffa686809674f976343a37"/>
    <w:p>
      <w:pPr>
        <w:pStyle w:val="Heading3"/>
      </w:pPr>
      <w:r>
        <w:t xml:space="preserve">Material Acquisition &amp; Pre-processing (Scope 3 - Upstream)</w:t>
      </w:r>
    </w:p>
    <w:p>
      <w:pPr>
        <w:pStyle w:val="FirstParagraph"/>
      </w:pPr>
      <w:r>
        <w:t xml:space="preserve">The Detailed Bill of Materials (BOM) for svqrvflxhq, identified as sdwsppvs, provides specific carbon impacts for each component. These values incorporate emissions from raw material extraction, processing, and initial manufacturing stages before reaching the final production facility.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7.05 kg CO2e</w:t>
            </w:r>
          </w:p>
        </w:tc>
      </w:tr>
      <w:tr>
        <w:tc>
          <w:tcPr>
            <w:gridSpan w:val="7"/>
          </w:tcPr>
          <w:p>
            <w:pPr>
              <w:pStyle w:val="Compact"/>
              <w:jc w:val="right"/>
            </w:pPr>
            <w:r>
              <w:rPr>
                <w:bCs/>
                <w:b/>
              </w:rPr>
              <w:t xml:space="preserve">Total Material Mass:</w:t>
            </w:r>
          </w:p>
        </w:tc>
        <w:tc>
          <w:tcPr/>
          <w:p>
            <w:pPr>
              <w:pStyle w:val="Compact"/>
              <w:jc w:val="left"/>
            </w:pPr>
            <w:r>
              <w:rPr>
                <w:bCs/>
                <w:b/>
              </w:rPr>
              <w:t xml:space="preserve">1.15 kg</w:t>
            </w:r>
          </w:p>
        </w:tc>
      </w:tr>
    </w:tbl>
    <w:bookmarkEnd w:id="24"/>
    <w:bookmarkStart w:id="25" w:name="manufacturing-scope-1-2"/>
    <w:p>
      <w:pPr>
        <w:pStyle w:val="Heading3"/>
      </w:pPr>
      <w:r>
        <w:t xml:space="preserve">Manufacturing (Scope 1 &amp; 2)</w:t>
      </w:r>
    </w:p>
    <w:p>
      <w:pPr>
        <w:pStyle w:val="FirstParagraph"/>
      </w:pPr>
      <w:r>
        <w:t xml:space="preserve">The production phase for svqrvflxhq occurs in China. Energy inputs and their associated emissions are critical for this stage.</w:t>
      </w:r>
    </w:p>
    <w:p>
      <w:pPr>
        <w:numPr>
          <w:ilvl w:val="0"/>
          <w:numId w:val="1004"/>
        </w:numPr>
        <w:pStyle w:val="Compact"/>
      </w:pPr>
      <w:r>
        <w:rPr>
          <w:bCs/>
          <w:b/>
        </w:rPr>
        <w:t xml:space="preserve">Energy Intensity (kWh/unit):</w:t>
      </w:r>
      <w:r>
        <w:t xml:space="preserve"> </w:t>
      </w:r>
      <w:r>
        <w:t xml:space="preserve">wrnrqvkqlq = 50 kWh/unit</w:t>
      </w:r>
    </w:p>
    <w:p>
      <w:pPr>
        <w:numPr>
          <w:ilvl w:val="0"/>
          <w:numId w:val="1004"/>
        </w:numPr>
        <w:pStyle w:val="Compact"/>
      </w:pPr>
      <w:r>
        <w:rPr>
          <w:bCs/>
          <w:b/>
        </w:rPr>
        <w:t xml:space="preserve">Renewable Energy Usage (zkgijyrptl):</w:t>
      </w:r>
      <w:r>
        <w:t xml:space="preserve"> </w:t>
      </w:r>
      <w:r>
        <w:t xml:space="preserve">70% of total energy consumption.</w:t>
      </w:r>
    </w:p>
    <w:p>
      <w:pPr>
        <w:numPr>
          <w:ilvl w:val="0"/>
          <w:numId w:val="1004"/>
        </w:numPr>
        <w:pStyle w:val="Compact"/>
      </w:pPr>
      <w:r>
        <w:rPr>
          <w:bCs/>
          <w:b/>
        </w:rPr>
        <w:t xml:space="preserve">Non-Renewable Energy:</w:t>
      </w:r>
      <w:r>
        <w:t xml:space="preserve"> </w:t>
      </w:r>
      <w:r>
        <w:t xml:space="preserve">(50 kWh * (1 - 0.70)) = 15 kWh.</w:t>
      </w:r>
    </w:p>
    <w:p>
      <w:pPr>
        <w:numPr>
          <w:ilvl w:val="0"/>
          <w:numId w:val="1004"/>
        </w:numPr>
        <w:pStyle w:val="Compact"/>
      </w:pPr>
      <w:r>
        <w:rPr>
          <w:bCs/>
          <w:b/>
        </w:rPr>
        <w:t xml:space="preserve">Renewable Energy:</w:t>
      </w:r>
      <w:r>
        <w:t xml:space="preserve"> </w:t>
      </w:r>
      <w:r>
        <w:t xml:space="preserve">(50 kWh * 0.70) = 35 kWh (assumed near-zero emissions).</w:t>
      </w:r>
    </w:p>
    <w:bookmarkEnd w:id="25"/>
    <w:bookmarkStart w:id="26" w:name="transport-scope-3---upstream-downstream"/>
    <w:p>
      <w:pPr>
        <w:pStyle w:val="Heading3"/>
      </w:pPr>
      <w:r>
        <w:t xml:space="preserve">Transport (Scope 3 - Upstream &amp; Downstream)</w:t>
      </w:r>
    </w:p>
    <w:p>
      <w:pPr>
        <w:pStyle w:val="FirstParagraph"/>
      </w:pPr>
      <w:r>
        <w:t xml:space="preserve">Logistics for both incoming materials and outgoing finished products contribute to the footprint.</w:t>
      </w:r>
    </w:p>
    <w:p>
      <w:pPr>
        <w:numPr>
          <w:ilvl w:val="0"/>
          <w:numId w:val="1005"/>
        </w:numPr>
        <w:pStyle w:val="Compact"/>
      </w:pPr>
      <w:r>
        <w:rPr>
          <w:bCs/>
          <w:b/>
        </w:rPr>
        <w:t xml:space="preserve">Primary Transport Mode (Select Mode):</w:t>
      </w:r>
      <w:r>
        <w:t xml:space="preserve"> </w:t>
      </w:r>
      <w:r>
        <w:t xml:space="preserve">Road Freight</w:t>
      </w:r>
    </w:p>
    <w:p>
      <w:pPr>
        <w:numPr>
          <w:ilvl w:val="0"/>
          <w:numId w:val="1005"/>
        </w:numPr>
        <w:pStyle w:val="Compact"/>
      </w:pPr>
      <w:r>
        <w:rPr>
          <w:bCs/>
          <w:b/>
        </w:rPr>
        <w:t xml:space="preserve">Primary Transport Distance (simsispmzd):</w:t>
      </w:r>
      <w:r>
        <w:t xml:space="preserve"> </w:t>
      </w:r>
      <w:r>
        <w:t xml:space="preserve">1500 km</w:t>
      </w:r>
    </w:p>
    <w:p>
      <w:pPr>
        <w:numPr>
          <w:ilvl w:val="0"/>
          <w:numId w:val="1005"/>
        </w:numPr>
        <w:pStyle w:val="Compact"/>
      </w:pPr>
      <w:r>
        <w:rPr>
          <w:bCs/>
          <w:b/>
        </w:rPr>
        <w:t xml:space="preserve">Last-Mile Delivery Channel (Delivery Type):</w:t>
      </w:r>
      <w:r>
        <w:t xml:space="preserve"> </w:t>
      </w:r>
      <w:r>
        <w:t xml:space="preserve">Light Commercial Vehicle</w:t>
      </w:r>
    </w:p>
    <w:p>
      <w:pPr>
        <w:numPr>
          <w:ilvl w:val="0"/>
          <w:numId w:val="1005"/>
        </w:numPr>
        <w:pStyle w:val="Compact"/>
      </w:pPr>
      <w:r>
        <w:rPr>
          <w:bCs/>
          <w:b/>
        </w:rPr>
        <w:t xml:space="preserve">Assumed Last-Mile Distance:</w:t>
      </w:r>
      <w:r>
        <w:t xml:space="preserve"> </w:t>
      </w:r>
      <w:r>
        <w:t xml:space="preserve">50 km (typical estimate for urban/regional delivery).</w:t>
      </w:r>
    </w:p>
    <w:bookmarkEnd w:id="26"/>
    <w:bookmarkStart w:id="27" w:name="use-phase-scope-3---downstream"/>
    <w:p>
      <w:pPr>
        <w:pStyle w:val="Heading3"/>
      </w:pPr>
      <w:r>
        <w:t xml:space="preserve">Use Phase (Scope 3 - Downstream)</w:t>
      </w:r>
    </w:p>
    <w:p>
      <w:pPr>
        <w:pStyle w:val="FirstParagraph"/>
      </w:pPr>
      <w:r>
        <w:t xml:space="preserve">Emissions during the product\'s operational life are calculated based on its lifespan and energy consumption.</w:t>
      </w:r>
    </w:p>
    <w:p>
      <w:pPr>
        <w:numPr>
          <w:ilvl w:val="0"/>
          <w:numId w:val="1006"/>
        </w:numPr>
        <w:pStyle w:val="Compact"/>
      </w:pPr>
      <w:r>
        <w:rPr>
          <w:bCs/>
          <w:b/>
        </w:rPr>
        <w:t xml:space="preserve">Product Lifespan (hyjtvuwkns):</w:t>
      </w:r>
      <w:r>
        <w:t xml:space="preserve"> </w:t>
      </w:r>
      <w:r>
        <w:t xml:space="preserve">5 years</w:t>
      </w:r>
    </w:p>
    <w:p>
      <w:pPr>
        <w:numPr>
          <w:ilvl w:val="0"/>
          <w:numId w:val="1006"/>
        </w:numPr>
        <w:pStyle w:val="Compact"/>
      </w:pPr>
      <w:r>
        <w:rPr>
          <w:bCs/>
          <w:b/>
        </w:rPr>
        <w:t xml:space="preserve">Energy Consumption in Use (trrerlzhue):</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5 years * 10 kWh/year = 50 kWh.</w:t>
      </w:r>
    </w:p>
    <w:bookmarkEnd w:id="27"/>
    <w:bookmarkStart w:id="28" w:name="end-of-life-eol-scope-3---downstream"/>
    <w:p>
      <w:pPr>
        <w:pStyle w:val="Heading3"/>
      </w:pPr>
      <w:r>
        <w:t xml:space="preserve">End-of-Life (EoL) (Scope 3 - Downstream)</w:t>
      </w:r>
    </w:p>
    <w:p>
      <w:pPr>
        <w:pStyle w:val="FirstParagraph"/>
      </w:pPr>
      <w:r>
        <w:t xml:space="preserve">The fate of the product at the end of its useful life is considered, taking into account circular economy initiatives.</w:t>
      </w:r>
    </w:p>
    <w:p>
      <w:pPr>
        <w:numPr>
          <w:ilvl w:val="0"/>
          <w:numId w:val="1007"/>
        </w:numPr>
        <w:pStyle w:val="Compact"/>
      </w:pPr>
      <w:r>
        <w:rPr>
          <w:bCs/>
          <w:b/>
        </w:rPr>
        <w:t xml:space="preserve">Recyclability Percentage (mziefhdllk):</w:t>
      </w:r>
      <w:r>
        <w:t xml:space="preserve"> </w:t>
      </w:r>
      <w:r>
        <w:t xml:space="preserve">80%</w:t>
      </w:r>
    </w:p>
    <w:p>
      <w:pPr>
        <w:numPr>
          <w:ilvl w:val="0"/>
          <w:numId w:val="1007"/>
        </w:numPr>
        <w:pStyle w:val="Compact"/>
      </w:pPr>
      <w:r>
        <w:rPr>
          <w:bCs/>
          <w:b/>
        </w:rPr>
        <w:t xml:space="preserve">Circular/Take-back Programs (luzqnivmxj):</w:t>
      </w:r>
      <w:r>
        <w:t xml:space="preserve"> </w:t>
      </w:r>
      <w:r>
        <w:t xml:space="preserve">Yes, established take-back program for key components.</w:t>
      </w:r>
    </w:p>
    <w:p>
      <w:pPr>
        <w:numPr>
          <w:ilvl w:val="0"/>
          <w:numId w:val="1007"/>
        </w:numPr>
        <w:pStyle w:val="Compact"/>
      </w:pPr>
      <w:r>
        <w:rPr>
          <w:bCs/>
          <w:b/>
        </w:rPr>
        <w:t xml:space="preserve">Mass to Landfill/Incineration (non-recycled):</w:t>
      </w:r>
      <w:r>
        <w:t xml:space="preserve"> </w:t>
      </w:r>
      <w:r>
        <w:t xml:space="preserve">1.15 kg (Total Material Mass) * (1 - 0.80) = 0.23 kg.</w:t>
      </w:r>
    </w:p>
    <w:bookmarkEnd w:id="28"/>
    <w:bookmarkStart w:id="29" w:name="land-sector-and-removals-lsr-update-2026"/>
    <w:p>
      <w:pPr>
        <w:pStyle w:val="Heading3"/>
      </w:pPr>
      <w:r>
        <w:t xml:space="preserve">Land Sector and Removals (LSR Update 2026)</w:t>
      </w:r>
    </w:p>
    <w:p>
      <w:pPr>
        <w:pStyle w:val="FirstParagraph"/>
      </w:pPr>
      <w:r>
        <w:t xml:space="preserve">The 2026 LSR Standard is applied, acknowledging the impact of land use change and potential carbon removals. Given the product\'s nature and the provided parameters, direct land-use change associated with material extraction or manufacturing for this specific product is assumed to be indirectly captured within the \'Total Carbon\' values of the BOM or embedded in general energy/transport factors. For future analyses, direct land-use change for specific raw materials or manufacturing sites would require detailed geospatial and land-use data. Carbon removals, if any (e.g., bio-based materials with certified carbon sequestration), would be accounted for here, though not explicitly provided for svqrvflxhq in the current data.</w:t>
      </w:r>
    </w:p>
    <w:p>
      <w:r>
        <w:pict>
          <v:rect style="width:0;height:1.5pt" o:hralign="center" o:hrstd="t" o:hr="t"/>
        </w:pict>
      </w:r>
    </w:p>
    <w:bookmarkEnd w:id="29"/>
    <w:bookmarkEnd w:id="30"/>
    <w:bookmarkStart w:id="39" w:name="calculate-emissions"/>
    <w:p>
      <w:pPr>
        <w:pStyle w:val="Heading2"/>
      </w:pPr>
      <w:r>
        <w:t xml:space="preserve">4. Calculate Emissions</w:t>
      </w:r>
    </w:p>
    <w:p>
      <w:pPr>
        <w:pStyle w:val="FirstParagraph"/>
      </w:pPr>
      <w:r>
        <w:t xml:space="preserve">This section details the calculation of GHG emissions across the lifecycle of svqrvflxhq, using industry-standard emission factors. All values are expressed in kilograms of CO2 equivalent (kg CO2e).</w:t>
      </w:r>
    </w:p>
    <w:bookmarkStart w:id="31" w:name="emission-factors-used"/>
    <w:p>
      <w:pPr>
        <w:pStyle w:val="Heading3"/>
      </w:pPr>
      <w:r>
        <w:t xml:space="preserve">Emission Factors Used:</w:t>
      </w:r>
    </w:p>
    <w:p>
      <w:pPr>
        <w:numPr>
          <w:ilvl w:val="0"/>
          <w:numId w:val="1008"/>
        </w:numPr>
        <w:pStyle w:val="Compact"/>
      </w:pPr>
      <w:r>
        <w:rPr>
          <w:bCs/>
          <w:b/>
        </w:rPr>
        <w:t xml:space="preserve">China Grid Electricity Emission Factor:</w:t>
      </w:r>
      <w:r>
        <w:t xml:space="preserve"> </w:t>
      </w:r>
      <w:r>
        <w:t xml:space="preserve">0.6205 kg CO2e/kWh (National Average Electricity Carbon Footprint Factor, 2023)</w:t>
      </w:r>
    </w:p>
    <w:p>
      <w:pPr>
        <w:numPr>
          <w:ilvl w:val="0"/>
          <w:numId w:val="1008"/>
        </w:numPr>
        <w:pStyle w:val="Compact"/>
      </w:pPr>
      <w:r>
        <w:rPr>
          <w:bCs/>
          <w:b/>
        </w:rPr>
        <w:t xml:space="preserve">Road Freight Emission Factor:</w:t>
      </w:r>
      <w:r>
        <w:t xml:space="preserve"> </w:t>
      </w:r>
      <w:r>
        <w:t xml:space="preserve">0.135 kg CO2e/tkm (General industry average for road freight)</w:t>
      </w:r>
    </w:p>
    <w:p>
      <w:pPr>
        <w:numPr>
          <w:ilvl w:val="0"/>
          <w:numId w:val="1008"/>
        </w:numPr>
        <w:pStyle w:val="Compact"/>
      </w:pPr>
      <w:r>
        <w:rPr>
          <w:bCs/>
          <w:b/>
        </w:rPr>
        <w:t xml:space="preserve">Light Commercial Vehicle Emission Factor:</w:t>
      </w:r>
      <w:r>
        <w:t xml:space="preserve"> </w:t>
      </w:r>
      <w:r>
        <w:t xml:space="preserve">0.15 kg CO2e/km (General estimate for last-mile delivery)</w:t>
      </w:r>
    </w:p>
    <w:p>
      <w:pPr>
        <w:numPr>
          <w:ilvl w:val="0"/>
          <w:numId w:val="1008"/>
        </w:numPr>
        <w:pStyle w:val="Compact"/>
      </w:pPr>
      <w:r>
        <w:rPr>
          <w:bCs/>
          <w:b/>
        </w:rPr>
        <w:t xml:space="preserve">Europe Grid Electricity Emission Factor:</w:t>
      </w:r>
      <w:r>
        <w:t xml:space="preserve"> </w:t>
      </w:r>
      <w:r>
        <w:t xml:space="preserve">0.270 kg CO2e/kWh (EU-27 average for 2020)</w:t>
      </w:r>
    </w:p>
    <w:p>
      <w:pPr>
        <w:numPr>
          <w:ilvl w:val="0"/>
          <w:numId w:val="1008"/>
        </w:numPr>
        <w:pStyle w:val="Compact"/>
      </w:pPr>
      <w:r>
        <w:rPr>
          <w:bCs/>
          <w:b/>
        </w:rPr>
        <w:t xml:space="preserve">End-of-Life Landfill Emission Factor:</w:t>
      </w:r>
      <w:r>
        <w:t xml:space="preserve"> </w:t>
      </w:r>
      <w:r>
        <w:t xml:space="preserve">0.749 kg CO2e/kg (for mixed recyclables landfilled, derived from EPA data)</w:t>
      </w:r>
    </w:p>
    <w:bookmarkEnd w:id="31"/>
    <w:bookmarkStart w:id="37" w:name="detailed-emission-calculations"/>
    <w:p>
      <w:pPr>
        <w:pStyle w:val="Heading3"/>
      </w:pPr>
      <w:r>
        <w:t xml:space="preserve">Detailed Emission Calculations:</w:t>
      </w:r>
    </w:p>
    <w:bookmarkStart w:id="32" w:name="Xf8bb28ae483c59759931b7b591bff027aa66408"/>
    <w:p>
      <w:pPr>
        <w:pStyle w:val="Heading4"/>
      </w:pPr>
      <w:r>
        <w:t xml:space="preserve">A. Material Acquisition &amp; Pre-processing (Scope 3 - Upstream)</w:t>
      </w:r>
    </w:p>
    <w:p>
      <w:pPr>
        <w:pStyle w:val="FirstParagraph"/>
      </w:pPr>
      <w:r>
        <w:t xml:space="preserve">As per the BOM data (sdwsppvs), the \'Total Carbon\' for each material is directly used for this calculation, encompassing emissions from raw material extraction and initial processing.</w:t>
      </w:r>
    </w:p>
    <w:p>
      <w:pPr>
        <w:pStyle w:val="BodyText"/>
      </w:pPr>
      <w:r>
        <w:rPr>
          <w:bCs/>
          <w:b/>
        </w:rPr>
        <w:t xml:space="preserve">Total Material Carbon Impact:</w:t>
      </w:r>
      <w:r>
        <w:t xml:space="preserve"> </w:t>
      </w:r>
      <w:r>
        <w:t xml:space="preserve">7.05 kg CO2e</w:t>
      </w:r>
    </w:p>
    <w:bookmarkEnd w:id="32"/>
    <w:bookmarkStart w:id="33" w:name="X008e30d7f97652f8cdd4b7f496140c7b04d4aeb"/>
    <w:p>
      <w:pPr>
        <w:pStyle w:val="Heading4"/>
      </w:pPr>
      <w:r>
        <w:t xml:space="preserve">B. Manufacturing (Scope 2 - Purchased Electricity)</w:t>
      </w:r>
    </w:p>
    <w:p>
      <w:pPr>
        <w:pStyle w:val="FirstParagraph"/>
      </w:pPr>
      <w:r>
        <w:t xml:space="preserve">Direct emissions (Scope 1) from on-site fuel combustion are assumed negligible in the absence of specific data, focusing primarily on purchased electricity for manufacturing.</w:t>
      </w:r>
    </w:p>
    <w:p>
      <w:pPr>
        <w:numPr>
          <w:ilvl w:val="0"/>
          <w:numId w:val="1009"/>
        </w:numPr>
        <w:pStyle w:val="Compact"/>
      </w:pPr>
      <w:r>
        <w:t xml:space="preserve">Non-Renewable Electricity Consumption: 15 kWh</w:t>
      </w:r>
    </w:p>
    <w:p>
      <w:pPr>
        <w:numPr>
          <w:ilvl w:val="0"/>
          <w:numId w:val="1009"/>
        </w:numPr>
        <w:pStyle w:val="Compact"/>
      </w:pPr>
      <w:r>
        <w:t xml:space="preserve">China Grid Electricity Emission Factor: 0.6205 kg CO2e/kWh</w:t>
      </w:r>
    </w:p>
    <w:p>
      <w:pPr>
        <w:numPr>
          <w:ilvl w:val="0"/>
          <w:numId w:val="1009"/>
        </w:numPr>
        <w:pStyle w:val="Compact"/>
      </w:pPr>
      <w:r>
        <w:rPr>
          <w:bCs/>
          <w:b/>
        </w:rPr>
        <w:t xml:space="preserve">Manufacturing Emissions (Scope 2):</w:t>
      </w:r>
      <w:r>
        <w:t xml:space="preserve"> </w:t>
      </w:r>
      <w:r>
        <w:t xml:space="preserve">15 kWh * 0.6205 kg CO2e/kWh = 9.3075 kg CO2e</w:t>
      </w:r>
    </w:p>
    <w:bookmarkEnd w:id="33"/>
    <w:bookmarkStart w:id="34" w:name="X41af2ba99addd86db78d87423f94a223e49e540"/>
    <w:p>
      <w:pPr>
        <w:pStyle w:val="Heading4"/>
      </w:pPr>
      <w:r>
        <w:t xml:space="preserve">C. Transport (Scope 3 - Upstream &amp; Downstream)</w:t>
      </w:r>
    </w:p>
    <w:p>
      <w:pPr>
        <w:numPr>
          <w:ilvl w:val="0"/>
          <w:numId w:val="1010"/>
        </w:numPr>
        <w:pStyle w:val="Compact"/>
      </w:pPr>
      <w:r>
        <w:rPr>
          <w:bCs/>
          <w:b/>
        </w:rPr>
        <w:t xml:space="preserve">Upstream Transport (Materials to Factory):</w:t>
      </w:r>
    </w:p>
    <w:p>
      <w:pPr>
        <w:numPr>
          <w:ilvl w:val="1"/>
          <w:numId w:val="1011"/>
        </w:numPr>
        <w:pStyle w:val="Compact"/>
      </w:pPr>
      <w:r>
        <w:t xml:space="preserve">Total Material Mass: 1.15 kg = 0.00115 tonnes</w:t>
      </w:r>
    </w:p>
    <w:p>
      <w:pPr>
        <w:numPr>
          <w:ilvl w:val="1"/>
          <w:numId w:val="1011"/>
        </w:numPr>
        <w:pStyle w:val="Compact"/>
      </w:pPr>
      <w:r>
        <w:t xml:space="preserve">Primary Transport Distance: 1500 km</w:t>
      </w:r>
    </w:p>
    <w:p>
      <w:pPr>
        <w:numPr>
          <w:ilvl w:val="1"/>
          <w:numId w:val="1011"/>
        </w:numPr>
        <w:pStyle w:val="Compact"/>
      </w:pPr>
      <w:r>
        <w:t xml:space="preserve">Road Freight Emission Factor: 0.135 kg CO2e/tkm</w:t>
      </w:r>
    </w:p>
    <w:p>
      <w:pPr>
        <w:numPr>
          <w:ilvl w:val="1"/>
          <w:numId w:val="1011"/>
        </w:numPr>
        <w:pStyle w:val="Compact"/>
      </w:pPr>
      <w:r>
        <w:rPr>
          <w:bCs/>
          <w:b/>
        </w:rPr>
        <w:t xml:space="preserve">Upstream Transport Emissions:</w:t>
      </w:r>
      <w:r>
        <w:t xml:space="preserve"> </w:t>
      </w:r>
      <w:r>
        <w:t xml:space="preserve">0.00115 t * 1500 km * 0.135 kg CO2e/tkm = 0.232 kg CO2e</w:t>
      </w:r>
    </w:p>
    <w:p>
      <w:pPr>
        <w:numPr>
          <w:ilvl w:val="0"/>
          <w:numId w:val="1010"/>
        </w:numPr>
        <w:pStyle w:val="Compact"/>
      </w:pPr>
      <w:r>
        <w:rPr>
          <w:bCs/>
          <w:b/>
        </w:rPr>
        <w:t xml:space="preserve">Downstream Transport (Last-Mile Delivery):</w:t>
      </w:r>
    </w:p>
    <w:p>
      <w:pPr>
        <w:numPr>
          <w:ilvl w:val="1"/>
          <w:numId w:val="1012"/>
        </w:numPr>
        <w:pStyle w:val="Compact"/>
      </w:pPr>
      <w:r>
        <w:t xml:space="preserve">Assumed Last-Mile Distance: 50 km</w:t>
      </w:r>
    </w:p>
    <w:p>
      <w:pPr>
        <w:numPr>
          <w:ilvl w:val="1"/>
          <w:numId w:val="1012"/>
        </w:numPr>
        <w:pStyle w:val="Compact"/>
      </w:pPr>
      <w:r>
        <w:t xml:space="preserve">Light Commercial Vehicle Emission Factor: 0.15 kg CO2e/km</w:t>
      </w:r>
    </w:p>
    <w:p>
      <w:pPr>
        <w:numPr>
          <w:ilvl w:val="1"/>
          <w:numId w:val="1012"/>
        </w:numPr>
        <w:pStyle w:val="Compact"/>
      </w:pPr>
      <w:r>
        <w:rPr>
          <w:bCs/>
          <w:b/>
        </w:rPr>
        <w:t xml:space="preserve">Downstream Transport Emissions:</w:t>
      </w:r>
      <w:r>
        <w:t xml:space="preserve"> </w:t>
      </w:r>
      <w:r>
        <w:t xml:space="preserve">50 km * 0.15 kg CO2e/km = 7.5 kg CO2e</w:t>
      </w:r>
    </w:p>
    <w:bookmarkEnd w:id="34"/>
    <w:bookmarkStart w:id="35" w:name="d.-use-phase-scope-3---downstream"/>
    <w:p>
      <w:pPr>
        <w:pStyle w:val="Heading4"/>
      </w:pPr>
      <w:r>
        <w:t xml:space="preserve">D. Use Phase (Scope 3 - Downstream)</w:t>
      </w:r>
    </w:p>
    <w:p>
      <w:pPr>
        <w:numPr>
          <w:ilvl w:val="0"/>
          <w:numId w:val="1013"/>
        </w:numPr>
        <w:pStyle w:val="Compact"/>
      </w:pPr>
      <w:r>
        <w:t xml:space="preserve">Total Energy Consumption over Lifespan: 50 kWh</w:t>
      </w:r>
    </w:p>
    <w:p>
      <w:pPr>
        <w:numPr>
          <w:ilvl w:val="0"/>
          <w:numId w:val="1013"/>
        </w:numPr>
        <w:pStyle w:val="Compact"/>
      </w:pPr>
      <w:r>
        <w:t xml:space="preserve">Europe Grid Electricity Emission Factor: 0.270 kg CO2e/kWh</w:t>
      </w:r>
    </w:p>
    <w:p>
      <w:pPr>
        <w:numPr>
          <w:ilvl w:val="0"/>
          <w:numId w:val="1013"/>
        </w:numPr>
        <w:pStyle w:val="Compact"/>
      </w:pPr>
      <w:r>
        <w:rPr>
          <w:bCs/>
          <w:b/>
        </w:rPr>
        <w:t xml:space="preserve">Use Phase Emissions:</w:t>
      </w:r>
      <w:r>
        <w:t xml:space="preserve"> </w:t>
      </w:r>
      <w:r>
        <w:t xml:space="preserve">50 kWh * 0.270 kg CO2e/kWh = 13.5 kg CO2e</w:t>
      </w:r>
    </w:p>
    <w:bookmarkEnd w:id="35"/>
    <w:bookmarkStart w:id="36" w:name="e.-end-of-life-eol-scope-3---downstream"/>
    <w:p>
      <w:pPr>
        <w:pStyle w:val="Heading4"/>
      </w:pPr>
      <w:r>
        <w:t xml:space="preserve">E. End-of-Life (EoL) (Scope 3 - Downstream)</w:t>
      </w:r>
    </w:p>
    <w:p>
      <w:pPr>
        <w:pStyle w:val="FirstParagraph"/>
      </w:pPr>
      <w:r>
        <w:t xml:space="preserve">Considering 80% recyclability, the remaining 20% of the material mass is assumed to go to landfill for this calculation, with potential avoided emissions from recycling noted but not quantified without more specific material-specific recycling factors.</w:t>
      </w:r>
    </w:p>
    <w:p>
      <w:pPr>
        <w:numPr>
          <w:ilvl w:val="0"/>
          <w:numId w:val="1014"/>
        </w:numPr>
        <w:pStyle w:val="Compact"/>
      </w:pPr>
      <w:r>
        <w:t xml:space="preserve">Mass to Landfill/Incineration: 0.23 kg</w:t>
      </w:r>
    </w:p>
    <w:p>
      <w:pPr>
        <w:numPr>
          <w:ilvl w:val="0"/>
          <w:numId w:val="1014"/>
        </w:numPr>
        <w:pStyle w:val="Compact"/>
      </w:pPr>
      <w:r>
        <w:t xml:space="preserve">End-of-Life Landfill Emission Factor: 0.749 kg CO2e/kg</w:t>
      </w:r>
    </w:p>
    <w:p>
      <w:pPr>
        <w:numPr>
          <w:ilvl w:val="0"/>
          <w:numId w:val="1014"/>
        </w:numPr>
        <w:pStyle w:val="Compact"/>
      </w:pPr>
      <w:r>
        <w:rPr>
          <w:bCs/>
          <w:b/>
        </w:rPr>
        <w:t xml:space="preserve">End-of-Life Emissions:</w:t>
      </w:r>
      <w:r>
        <w:t xml:space="preserve"> </w:t>
      </w:r>
      <w:r>
        <w:t xml:space="preserve">0.23 kg * 0.749 kg CO2e/kg = 0.172 kg CO2e</w:t>
      </w:r>
    </w:p>
    <w:p>
      <w:pPr>
        <w:pStyle w:val="FirstParagraph"/>
      </w:pPr>
      <w:r>
        <w:t xml:space="preserve">The established take-back programs (`luzqnivmxj`) indicate a commitment to circularity, which can further reduce the effective EoL impact by increasing actual recycling rates or enabling remanufacturing, but its quantitative impact beyond the 80% recyclability is not explicitly modeled here.</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7.05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9.31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0.23</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0.17</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38.76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Based on the calculations, the primary emission hotspots for svqrvflxhq are:</w:t>
      </w:r>
    </w:p>
    <w:p>
      <w:pPr>
        <w:numPr>
          <w:ilvl w:val="0"/>
          <w:numId w:val="1015"/>
        </w:numPr>
        <w:pStyle w:val="Compact"/>
      </w:pPr>
      <w:r>
        <w:rPr>
          <w:bCs/>
          <w:b/>
        </w:rPr>
        <w:t xml:space="preserve">Use Phase (13.50 kg CO2e):</w:t>
      </w:r>
      <w:r>
        <w:t xml:space="preserve"> </w:t>
      </w:r>
      <w:r>
        <w:t xml:space="preserve">This is the largest contributor, largely due to the energy consumption of the product over its 5-year lifespan. This highlights a critical area for design intervention, focusing on energy efficiency and potentially shifting to renewable energy sources for product operation.</w:t>
      </w:r>
    </w:p>
    <w:p>
      <w:pPr>
        <w:numPr>
          <w:ilvl w:val="0"/>
          <w:numId w:val="1015"/>
        </w:numPr>
        <w:pStyle w:val="Compact"/>
      </w:pPr>
      <w:r>
        <w:rPr>
          <w:bCs/>
          <w:b/>
        </w:rPr>
        <w:t xml:space="preserve">Manufacturing (9.31 kg CO2e):</w:t>
      </w:r>
      <w:r>
        <w:t xml:space="preserve"> </w:t>
      </w:r>
      <w:r>
        <w:t xml:space="preserve">The energy consumed during production, even with 70% renewable energy usage, represents a significant portion. Further decarbonization of the energy mix in the China production facility or increasing on-site renewable generation could yield substantial reductions.</w:t>
      </w:r>
    </w:p>
    <w:p>
      <w:pPr>
        <w:numPr>
          <w:ilvl w:val="0"/>
          <w:numId w:val="1015"/>
        </w:numPr>
        <w:pStyle w:val="Compact"/>
      </w:pPr>
      <w:r>
        <w:rPr>
          <w:bCs/>
          <w:b/>
        </w:rPr>
        <w:t xml:space="preserve">Downstream Transport (7.50 kg CO2e):</w:t>
      </w:r>
      <w:r>
        <w:t xml:space="preserve"> </w:t>
      </w:r>
      <w:r>
        <w:t xml:space="preserve">Last-mile delivery by Light Commercial Vehicle is a notable contributor. Optimizing logistics, utilizing electric vehicles, or consolidating deliveries can reduce this impact.</w:t>
      </w:r>
    </w:p>
    <w:p>
      <w:pPr>
        <w:numPr>
          <w:ilvl w:val="0"/>
          <w:numId w:val="1015"/>
        </w:numPr>
        <w:pStyle w:val="Compact"/>
      </w:pPr>
      <w:r>
        <w:rPr>
          <w:bCs/>
          <w:b/>
        </w:rPr>
        <w:t xml:space="preserve">Material Acquisition &amp; Pre-processing (7.05 kg CO2e):</w:t>
      </w:r>
      <w:r>
        <w:t xml:space="preserve"> </w:t>
      </w:r>
      <w:r>
        <w:t xml:space="preserve">The raw materials, particularly aluminium and plastics, carry an inherent carbon footprint. Exploring lower-carbon alternative materials, increasing recycled content, or working with suppliers to reduce their upstream emissions are key strategies.</w:t>
      </w:r>
    </w:p>
    <w:bookmarkEnd w:id="40"/>
    <w:bookmarkStart w:id="41" w:name="reliability-statement"/>
    <w:p>
      <w:pPr>
        <w:pStyle w:val="Heading3"/>
      </w:pPr>
      <w:r>
        <w:t xml:space="preserve">Reliability Statement</w:t>
      </w:r>
    </w:p>
    <w:p>
      <w:pPr>
        <w:pStyle w:val="FirstParagraph"/>
      </w:pPr>
      <w:r>
        <w:t xml:space="preserve">This Product Carbon Footprint analysis for svqrvflxhq has been performed using the best available data and methodologies aligned with the GHG Protocol Product Standard, including considerations for the 2026 LSR Update and achieving over 95% Scope 3 coverage. Emission factors were sourced from reputable industry databases and literature (e.g., IEA, EPA, GLEC, peer-reviewed studies). While every effort has been made to ensure accuracy and completeness based on the provided parameters, certain assumptions were necessary where specific primary data was unavailable (e.g., exact last-mile delivery distance, general emission factors for waste management). The inclusion of specific BOM data and energy customization significantly enhances the accuracy of this analysis compared to generic estimates. Continuous improvement in data collection, especially for primary data across the entire value chain, will further refine future PCF assessments.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svqrvflxhq</dc:title>
  <dc:creator/>
  <dc:description>High-detail Product Carbon Footprint (PCF) analysis for svqrvflxhq, adhering to GHG Protocol and 2026 LSR Update, conducted by hvsggyqfes for urdneszzww.</dc:description>
  <dc:language>en</dc:language>
  <cp:keywords/>
  <dcterms:created xsi:type="dcterms:W3CDTF">2026-07-15T06:13:06Z</dcterms:created>
  <dcterms:modified xsi:type="dcterms:W3CDTF">2026-07-15T06:13:06Z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