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svlufltfrf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svlufltfrf</w:t>
      </w:r>
    </w:p>
    <w:p>
      <w:pPr>
        <w:pStyle w:val="BodyText"/>
      </w:pPr>
      <w:r>
        <w:t xml:space="preserve">Company: zngogipzrl</w:t>
      </w:r>
    </w:p>
    <w:p>
      <w:pPr>
        <w:pStyle w:val="BodyText"/>
      </w:pPr>
      <w:r>
        <w:t xml:space="preserve">Senior Sustainability Consultant: ozjjxwpwey</w:t>
      </w:r>
    </w:p>
    <w:p>
      <w:pPr>
        <w:pStyle w:val="BodyText"/>
      </w:pPr>
      <w:r>
        <w:t xml:space="preserve">Accounting Standard: GHG Protocol</w:t>
      </w:r>
    </w:p>
    <w:p>
      <w:pPr>
        <w:pStyle w:val="BodyText"/>
      </w:pPr>
      <w:r>
        <w:t xml:space="preserve">Disclaimer: This report is generated based on available data and industry standards. Actual emissions may vary based on specific operational details and real-time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svlufltfrf, manufactured by zngogipzrl. The assessment adheres strictly to the GHG Protocol accounting standard, incorporating the forthcoming 2026 Land Sector and Removals (LSR) Standard updates, and aims for at least 95% coverage for Scope 3 emissions as per 2026 requirements. The analysis covers the entire lifecycle of one functional unit of svlufltfrf, from raw material acquisition (cradle) to the factory gate, and extends through the use phase and end-of-life scenarios. Key insights identify material sourcing, manufacturing energy consumption, and product use as significant emission hotspots, while highlighting the positive impact of renewable energy usage and circular economy initiatives.</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svlufltfrf</w:t>
      </w:r>
      <w:r>
        <w:t xml:space="preserve">.</w:t>
      </w:r>
    </w:p>
    <w:bookmarkEnd w:id="23"/>
    <w:bookmarkStart w:id="24"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encompassing all upstream processes including raw material extraction, processing, and inbound transportation to the manufacturing facility. It also includes the manufacturing processes at zngogipzrl\'s facility, the use phase of the product, and its end-of-life treatment. This "cradle-to-grave" approach provides a comprehensive view of the product\'s environmental impact.</w:t>
      </w:r>
    </w:p>
    <w:bookmarkEnd w:id="24"/>
    <w:bookmarkStart w:id="25" w:name="geographic-scope"/>
    <w:p>
      <w:pPr>
        <w:pStyle w:val="Heading3"/>
      </w:pPr>
      <w:r>
        <w:t xml:space="preserve">2.3.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bookmarkEnd w:id="25"/>
    <w:bookmarkStart w:id="26" w:name="accounting-standard"/>
    <w:p>
      <w:pPr>
        <w:pStyle w:val="Heading3"/>
      </w:pPr>
      <w:r>
        <w:t xml:space="preserve">2.4. 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The LSR Standard, effective January 1, 2027, provides accounting requirements for entities with significant land sector activities and those reporting CO2 removals.</w:t>
      </w:r>
    </w:p>
    <w:p>
      <w:pPr>
        <w:pStyle w:val="BodyText"/>
      </w:pPr>
      <w:r>
        <w:t xml:space="preserve">Compliance with</w:t>
      </w:r>
      <w:r>
        <w:t xml:space="preserve"> </w:t>
      </w:r>
      <w:r>
        <w:rPr>
          <w:bCs/>
          <w:b/>
        </w:rPr>
        <w:t xml:space="preserve">Scope 3 reporting</w:t>
      </w:r>
      <w:r>
        <w:t xml:space="preserve"> </w:t>
      </w:r>
      <w:r>
        <w:t xml:space="preserve">aims for at least 95% coverage as per anticipated 2026 requirements, ensuring a robust assessment of value chain emissions.</w:t>
      </w:r>
    </w:p>
    <w:bookmarkEnd w:id="26"/>
    <w:bookmarkStart w:id="27" w:name="allocation"/>
    <w:p>
      <w:pPr>
        <w:pStyle w:val="Heading3"/>
      </w:pPr>
      <w:r>
        <w:t xml:space="preserve">2.5. Allocation</w:t>
      </w:r>
    </w:p>
    <w:p>
      <w:pPr>
        <w:pStyle w:val="FirstParagraph"/>
      </w:pPr>
      <w:r>
        <w:t xml:space="preserve">Allocation of emissions for co-products and recycling is performed using a mass-based approach where appropriate, with environmental benefits from recycling and circularity programs considered as avoided emissions at the end-of-life stage, consistent with GHG Protocol guidance.</w:t>
      </w:r>
    </w:p>
    <w:p>
      <w:r>
        <w:pict>
          <v:rect style="width:0;height:1.5pt" o:hralign="center" o:hrstd="t" o:hr="t"/>
        </w:pict>
      </w:r>
    </w:p>
    <w:bookmarkEnd w:id="27"/>
    <w:bookmarkEnd w:id="28"/>
    <w:bookmarkStart w:id="34" w:name="X499aa382d37d6bb6c3ce242350df022e68917f3"/>
    <w:p>
      <w:pPr>
        <w:pStyle w:val="Heading2"/>
      </w:pPr>
      <w:r>
        <w:t xml:space="preserve">3. Lifecycle Inventory Stages &amp; Data Collection</w:t>
      </w:r>
    </w:p>
    <w:p>
      <w:pPr>
        <w:pStyle w:val="FirstParagraph"/>
      </w:pPr>
      <w:r>
        <w:t xml:space="preserve">This section details the data collected and assumptions made for each lifecycle stage of svlufltfrf.</w:t>
      </w:r>
    </w:p>
    <w:bookmarkStart w:id="29" w:name="X482fc617d1af98dd44983f6029ca9c8c088280f"/>
    <w:p>
      <w:pPr>
        <w:pStyle w:val="Heading3"/>
      </w:pPr>
      <w:r>
        <w:t xml:space="preserve">3.1. Materials (Scope 3, Category 1: Purchased Goods and Services)</w:t>
      </w:r>
    </w:p>
    <w:p>
      <w:pPr>
        <w:pStyle w:val="FirstParagraph"/>
      </w:pPr>
      <w:r>
        <w:t xml:space="preserve">The material impact calculation is based on the provided Detailed Bill of Materials (BOM):</w:t>
      </w:r>
      <w:r>
        <w:t xml:space="preserve"> </w:t>
      </w:r>
      <w:r>
        <w:rPr>
          <w:rStyle w:val="VerbatimChar"/>
        </w:rPr>
        <w:t xml:space="preserve">vzrhpqih</w:t>
      </w:r>
      <w:r>
        <w:t xml:space="preserve">. For the purpose of this report, the following illustrative BOM data, conforming to the specified format (ID, Description, Category, Process, Qty, Unit, Emission Factor, Total Carbon), has been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9.4 kg CO2e</w:t>
            </w:r>
          </w:p>
        </w:tc>
      </w:tr>
    </w:tbl>
    <w:bookmarkEnd w:id="29"/>
    <w:bookmarkStart w:id="30" w:name="X2c2faff9b6093ead3d844c7b9926f8b8cb7b685"/>
    <w:p>
      <w:pPr>
        <w:pStyle w:val="Heading3"/>
      </w:pPr>
      <w:r>
        <w:t xml:space="preserve">3.2. Manufacturing (Scope 2: Purchased Electricity; Scope 1: Direct Emissions)</w:t>
      </w:r>
    </w:p>
    <w:p>
      <w:pPr>
        <w:numPr>
          <w:ilvl w:val="0"/>
          <w:numId w:val="1002"/>
        </w:numPr>
        <w:pStyle w:val="Compact"/>
      </w:pPr>
      <w:r>
        <w:t xml:space="preserve">Energy Intensity (kWh/unit):</w:t>
      </w:r>
      <w:r>
        <w:t xml:space="preserve"> </w:t>
      </w:r>
      <w:r>
        <w:rPr>
          <w:rStyle w:val="VerbatimChar"/>
        </w:rPr>
        <w:t xml:space="preserve">wrhndtkzeu</w:t>
      </w:r>
      <w:r>
        <w:t xml:space="preserve"> </w:t>
      </w:r>
      <w:r>
        <w:t xml:space="preserve">(Assumed 2.5 kWh/unit for calculation)</w:t>
      </w:r>
    </w:p>
    <w:p>
      <w:pPr>
        <w:numPr>
          <w:ilvl w:val="0"/>
          <w:numId w:val="1002"/>
        </w:numPr>
        <w:pStyle w:val="Compact"/>
      </w:pPr>
      <w:r>
        <w:t xml:space="preserve">Renewable Energy Usage:</w:t>
      </w:r>
      <w:r>
        <w:t xml:space="preserve"> </w:t>
      </w:r>
      <w:r>
        <w:rPr>
          <w:rStyle w:val="VerbatimChar"/>
        </w:rPr>
        <w:t xml:space="preserve">grlrsirnet</w:t>
      </w:r>
      <w:r>
        <w:t xml:space="preserve"> </w:t>
      </w:r>
      <w:r>
        <w:t xml:space="preserve">(Assumed 65% for calculation)</w:t>
      </w:r>
    </w:p>
    <w:p>
      <w:pPr>
        <w:numPr>
          <w:ilvl w:val="0"/>
          <w:numId w:val="1002"/>
        </w:numPr>
        <w:pStyle w:val="Compact"/>
      </w:pPr>
      <w:r>
        <w:t xml:space="preserve">For non-renewable electricity consumption in China, a grid emission factor of 0.6205 kg CO2e/kWh is applied, representing China\'s 2023 national average electricity carbon footprint factor.</w:t>
      </w:r>
    </w:p>
    <w:p>
      <w:pPr>
        <w:numPr>
          <w:ilvl w:val="0"/>
          <w:numId w:val="1002"/>
        </w:numPr>
        <w:pStyle w:val="Compact"/>
      </w:pPr>
      <w:r>
        <w:t xml:space="preserve">Direct (Scope 1) emissions from on-site fuel combustion are considered negligible for this product-level PCF based on the provided parameters, assuming electricity is the primary energy source for manufacturing.</w:t>
      </w:r>
    </w:p>
    <w:bookmarkEnd w:id="30"/>
    <w:bookmarkStart w:id="31" w:name="Xe149b10a953159f6147295a26b87169db4a3464"/>
    <w:p>
      <w:pPr>
        <w:pStyle w:val="Heading3"/>
      </w:pPr>
      <w:r>
        <w:t xml:space="preserve">3.3. Transport (Scope 3, Category 4: Upstream Transportation &amp; Distribution; Category 9: Downstream Transportation &amp; Distribution)</w:t>
      </w:r>
    </w:p>
    <w:p>
      <w:pPr>
        <w:numPr>
          <w:ilvl w:val="0"/>
          <w:numId w:val="1003"/>
        </w:numPr>
        <w:pStyle w:val="Compact"/>
      </w:pPr>
      <w:r>
        <w:t xml:space="preserve">Transport Mode (Inbound):</w:t>
      </w:r>
      <w:r>
        <w:t xml:space="preserve"> </w:t>
      </w:r>
      <w:r>
        <w:rPr>
          <w:rStyle w:val="VerbatimChar"/>
        </w:rPr>
        <w:t xml:space="preserve">Select Mode</w:t>
      </w:r>
      <w:r>
        <w:t xml:space="preserve"> </w:t>
      </w:r>
      <w:r>
        <w:t xml:space="preserve">(Assumed Road Freight, HGV &gt; 20t, for calculation). An emission factor of 0.092 kg CO2e/tonne-km for HGV (&gt;20t) in Europe is used.</w:t>
      </w:r>
    </w:p>
    <w:p>
      <w:pPr>
        <w:numPr>
          <w:ilvl w:val="0"/>
          <w:numId w:val="1003"/>
        </w:numPr>
        <w:pStyle w:val="Compact"/>
      </w:pPr>
      <w:r>
        <w:t xml:space="preserve">Transport Distance (Inbound):</w:t>
      </w:r>
      <w:r>
        <w:t xml:space="preserve"> </w:t>
      </w:r>
      <w:r>
        <w:rPr>
          <w:rStyle w:val="VerbatimChar"/>
        </w:rPr>
        <w:t xml:space="preserve">mrnjxispez</w:t>
      </w:r>
      <w:r>
        <w:t xml:space="preserve"> </w:t>
      </w:r>
      <w:r>
        <w:t xml:space="preserve">(Assumed 1500 km for calculation).</w:t>
      </w:r>
    </w:p>
    <w:p>
      <w:pPr>
        <w:numPr>
          <w:ilvl w:val="0"/>
          <w:numId w:val="1003"/>
        </w:numPr>
        <w:pStyle w:val="Compact"/>
      </w:pPr>
      <w:r>
        <w:t xml:space="preserve">Last-Mile Delivery Channel:</w:t>
      </w:r>
      <w:r>
        <w:t xml:space="preserve"> </w:t>
      </w:r>
      <w:r>
        <w:rPr>
          <w:rStyle w:val="VerbatimChar"/>
        </w:rPr>
        <w:t xml:space="preserve">Delivery Type</w:t>
      </w:r>
      <w:r>
        <w:t xml:space="preserve"> </w:t>
      </w:r>
      <w:r>
        <w:t xml:space="preserve">(Assumed Parcel Carrier (Van) for calculation). An emission factor of 0.24934 kg CO2e/km for an average van (up to 3.5 tonnes) in the UK (proxy for Europe) is used. An average last-mile distance of 50 km is assumed.</w:t>
      </w:r>
    </w:p>
    <w:p>
      <w:pPr>
        <w:numPr>
          <w:ilvl w:val="0"/>
          <w:numId w:val="1003"/>
        </w:numPr>
        <w:pStyle w:val="Compact"/>
      </w:pPr>
      <w:r>
        <w:t xml:space="preserve">Total product weight for transport calculations is estimated at 1.85 kg (sum of illustrative BOM quantities).</w:t>
      </w:r>
    </w:p>
    <w:bookmarkEnd w:id="31"/>
    <w:bookmarkStart w:id="32" w:name="Xc8d47610e025d3b1fe367d676386ecee874efa3"/>
    <w:p>
      <w:pPr>
        <w:pStyle w:val="Heading3"/>
      </w:pPr>
      <w:r>
        <w:t xml:space="preserve">3.4. Use Phase (Scope 3, Category 11: Use of Sold Products)</w:t>
      </w:r>
    </w:p>
    <w:p>
      <w:pPr>
        <w:numPr>
          <w:ilvl w:val="0"/>
          <w:numId w:val="1004"/>
        </w:numPr>
        <w:pStyle w:val="Compact"/>
      </w:pPr>
      <w:r>
        <w:t xml:space="preserve">Product Lifespan:</w:t>
      </w:r>
      <w:r>
        <w:t xml:space="preserve"> </w:t>
      </w:r>
      <w:r>
        <w:rPr>
          <w:rStyle w:val="VerbatimChar"/>
        </w:rPr>
        <w:t xml:space="preserve">hevdvrsmhu</w:t>
      </w:r>
      <w:r>
        <w:t xml:space="preserve"> </w:t>
      </w:r>
      <w:r>
        <w:t xml:space="preserve">(Assumed 5 years for calculation)</w:t>
      </w:r>
    </w:p>
    <w:p>
      <w:pPr>
        <w:numPr>
          <w:ilvl w:val="0"/>
          <w:numId w:val="1004"/>
        </w:numPr>
        <w:pStyle w:val="Compact"/>
      </w:pPr>
      <w:r>
        <w:t xml:space="preserve">Energy Consumption in Use:</w:t>
      </w:r>
      <w:r>
        <w:t xml:space="preserve"> </w:t>
      </w:r>
      <w:r>
        <w:rPr>
          <w:rStyle w:val="VerbatimChar"/>
        </w:rPr>
        <w:t xml:space="preserve">mmihgdmine</w:t>
      </w:r>
      <w:r>
        <w:t xml:space="preserve"> </w:t>
      </w:r>
      <w:r>
        <w:t xml:space="preserve">(Assumed 10 kWh/year for calculation)</w:t>
      </w:r>
    </w:p>
    <w:p>
      <w:pPr>
        <w:numPr>
          <w:ilvl w:val="0"/>
          <w:numId w:val="1004"/>
        </w:numPr>
        <w:pStyle w:val="Compact"/>
      </w:pPr>
      <w:r>
        <w:t xml:space="preserve">Electricity emission factor for the use phase: A global average grid emission factor of 0.4 kg CO2e/kWh is used, assuming typical end-user electricity mix.</w:t>
      </w:r>
    </w:p>
    <w:bookmarkEnd w:id="32"/>
    <w:bookmarkStart w:id="33" w:name="X9982929b618de862c11111658ccce8db3e98553"/>
    <w:p>
      <w:pPr>
        <w:pStyle w:val="Heading3"/>
      </w:pPr>
      <w:r>
        <w:t xml:space="preserve">3.5. End-of-Life (EoL) (Scope 3, Category 12: End-of-Life Treatment of Sold Products)</w:t>
      </w:r>
    </w:p>
    <w:p>
      <w:pPr>
        <w:numPr>
          <w:ilvl w:val="0"/>
          <w:numId w:val="1005"/>
        </w:numPr>
        <w:pStyle w:val="Compact"/>
      </w:pPr>
      <w:r>
        <w:t xml:space="preserve">Recyclability Percentage:</w:t>
      </w:r>
      <w:r>
        <w:t xml:space="preserve"> </w:t>
      </w:r>
      <w:r>
        <w:rPr>
          <w:rStyle w:val="VerbatimChar"/>
        </w:rPr>
        <w:t xml:space="preserve">hsevexunpp</w:t>
      </w:r>
      <w:r>
        <w:t xml:space="preserve"> </w:t>
      </w:r>
      <w:r>
        <w:t xml:space="preserve">(Assumed 80% for calculation)</w:t>
      </w:r>
    </w:p>
    <w:p>
      <w:pPr>
        <w:numPr>
          <w:ilvl w:val="0"/>
          <w:numId w:val="1005"/>
        </w:numPr>
        <w:pStyle w:val="Compact"/>
      </w:pPr>
      <w:r>
        <w:t xml:space="preserve">Circular/Take-back Programs:</w:t>
      </w:r>
      <w:r>
        <w:t xml:space="preserve"> </w:t>
      </w:r>
      <w:r>
        <w:rPr>
          <w:rStyle w:val="VerbatimChar"/>
        </w:rPr>
        <w:t xml:space="preserve">itrefjqvut</w:t>
      </w:r>
      <w:r>
        <w:t xml:space="preserve"> </w:t>
      </w:r>
      <w:r>
        <w:t xml:space="preserve">(Active take-back program with material recovery focus).</w:t>
      </w:r>
    </w:p>
    <w:p>
      <w:pPr>
        <w:numPr>
          <w:ilvl w:val="0"/>
          <w:numId w:val="1005"/>
        </w:numPr>
        <w:pStyle w:val="Compact"/>
      </w:pPr>
      <w:r>
        <w:t xml:space="preserve">Emissions from non-recycled waste (20%): A landfill emission factor of approximately 0.2 kg CO2e/kg for general waste is used.</w:t>
      </w:r>
    </w:p>
    <w:p>
      <w:pPr>
        <w:numPr>
          <w:ilvl w:val="0"/>
          <w:numId w:val="1005"/>
        </w:numPr>
        <w:pStyle w:val="Compact"/>
      </w:pPr>
      <w:r>
        <w:t xml:space="preserve">Avoided emissions from recycling (80%): A simplified avoided emission credit of -1.0 kg CO2e/kg of recycled material is applied, reflecting the benefits of reducing virgin material production.</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This section provides a detailed breakdown of the calculated emissions for each lifecycle stage and their categorization under the GHG Protocol Scopes. All calculations are based on the parameters and assumptions outlined in Section 3.</w:t>
      </w:r>
    </w:p>
    <w:bookmarkStart w:id="35" w:name="scope-1-emissions"/>
    <w:p>
      <w:pPr>
        <w:pStyle w:val="Heading3"/>
      </w:pPr>
      <w:r>
        <w:t xml:space="preserve">4.1. Scope 1 Emissions</w:t>
      </w:r>
    </w:p>
    <w:p>
      <w:pPr>
        <w:pStyle w:val="FirstParagraph"/>
      </w:pPr>
      <w:r>
        <w:t xml:space="preserve">Direct emissions from owned or controlled sources. Given the "factory_gate" system boundary focusing on product emissions and the reliance on purchased electricity, Scope 1 emissions for this specific product\'s manufacturing are considered negligible in this analysis, assuming no direct fuel combustion on-site specifically for the production of one unit of svlufltfrf.</w:t>
      </w:r>
    </w:p>
    <w:p>
      <w:pPr>
        <w:pStyle w:val="BodyText"/>
      </w:pPr>
      <w:r>
        <w:rPr>
          <w:bCs/>
          <w:b/>
        </w:rPr>
        <w:t xml:space="preserve">Total Scope 1 Emissions: 0.0 kg CO2e</w:t>
      </w:r>
    </w:p>
    <w:bookmarkEnd w:id="35"/>
    <w:bookmarkStart w:id="36" w:name="scope-2-emissions-purchased-electricity"/>
    <w:p>
      <w:pPr>
        <w:pStyle w:val="Heading3"/>
      </w:pPr>
      <w:r>
        <w:t xml:space="preserve">4.2. Scope 2 Emissions: Purchased Electricity</w:t>
      </w:r>
    </w:p>
    <w:p>
      <w:pPr>
        <w:pStyle w:val="FirstParagraph"/>
      </w:pPr>
      <w:r>
        <w:t xml:space="preserve">Emissions from the generation of purchased electricity consumed by zngogipzrl for manufacturing svlufltfrf.</w:t>
      </w:r>
    </w:p>
    <w:p>
      <w:pPr>
        <w:numPr>
          <w:ilvl w:val="0"/>
          <w:numId w:val="1006"/>
        </w:numPr>
        <w:pStyle w:val="Compact"/>
      </w:pPr>
      <w:r>
        <w:t xml:space="preserve">Energy Intensity: 2.5 kWh/unit (</w:t>
      </w:r>
      <w:r>
        <w:rPr>
          <w:rStyle w:val="VerbatimChar"/>
        </w:rPr>
        <w:t xml:space="preserve">wrhndtkzeu</w:t>
      </w:r>
      <w:r>
        <w:t xml:space="preserve">)</w:t>
      </w:r>
    </w:p>
    <w:p>
      <w:pPr>
        <w:numPr>
          <w:ilvl w:val="0"/>
          <w:numId w:val="1006"/>
        </w:numPr>
        <w:pStyle w:val="Compact"/>
      </w:pPr>
      <w:r>
        <w:t xml:space="preserve">Renewable Energy Usage: 65% (</w:t>
      </w:r>
      <w:r>
        <w:rPr>
          <w:rStyle w:val="VerbatimChar"/>
        </w:rPr>
        <w:t xml:space="preserve">grlrsirnet</w:t>
      </w:r>
      <w:r>
        <w:t xml:space="preserve">)</w:t>
      </w:r>
    </w:p>
    <w:p>
      <w:pPr>
        <w:numPr>
          <w:ilvl w:val="0"/>
          <w:numId w:val="1006"/>
        </w:numPr>
        <w:pStyle w:val="Compact"/>
      </w:pPr>
      <w:r>
        <w:t xml:space="preserve">Non-renewable electricity consumption: 2.5 kWh/unit * (1 - 0.65) = 0.875 kWh/unit</w:t>
      </w:r>
    </w:p>
    <w:p>
      <w:pPr>
        <w:numPr>
          <w:ilvl w:val="0"/>
          <w:numId w:val="1006"/>
        </w:numPr>
        <w:pStyle w:val="Compact"/>
      </w:pPr>
      <w:r>
        <w:t xml:space="preserve">China Grid Emission Factor: 0.6205 kg CO2e/kWh</w:t>
      </w:r>
    </w:p>
    <w:p>
      <w:pPr>
        <w:numPr>
          <w:ilvl w:val="0"/>
          <w:numId w:val="1006"/>
        </w:numPr>
        <w:pStyle w:val="Compact"/>
      </w:pPr>
      <w:r>
        <w:t xml:space="preserve">Calculation: 0.875 kWh/unit * 0.6205 kg CO2e/kWh = 0.543 kg CO2e/unit</w:t>
      </w:r>
    </w:p>
    <w:p>
      <w:pPr>
        <w:pStyle w:val="FirstParagraph"/>
      </w:pPr>
      <w:r>
        <w:rPr>
          <w:bCs/>
          <w:b/>
        </w:rPr>
        <w:t xml:space="preserve">Total Scope 2 Emissions: 0.543 kg CO2e</w:t>
      </w:r>
    </w:p>
    <w:bookmarkEnd w:id="36"/>
    <w:bookmarkStart w:id="43" w:name="scope-3-emissions-value-chain"/>
    <w:p>
      <w:pPr>
        <w:pStyle w:val="Heading3"/>
      </w:pPr>
      <w:r>
        <w:t xml:space="preserve">4.3. Scope 3 Emissions: Value Chain</w:t>
      </w:r>
    </w:p>
    <w:p>
      <w:pPr>
        <w:pStyle w:val="FirstParagraph"/>
      </w:pPr>
      <w:r>
        <w:t xml:space="preserve">Indirect emissions across the value chain, both upstream and downstream.</w:t>
      </w:r>
    </w:p>
    <w:bookmarkStart w:id="37"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upstream transportation of raw materials and components for svlufltfrf.</w:t>
      </w:r>
    </w:p>
    <w:p>
      <w:pPr>
        <w:numPr>
          <w:ilvl w:val="0"/>
          <w:numId w:val="1007"/>
        </w:numPr>
        <w:pStyle w:val="Compact"/>
      </w:pPr>
      <w:r>
        <w:t xml:space="preserve">Based on illustrative BOM data: 9.4 kg CO2e</w:t>
      </w:r>
    </w:p>
    <w:p>
      <w:pPr>
        <w:pStyle w:val="FirstParagraph"/>
      </w:pPr>
      <w:r>
        <w:rPr>
          <w:bCs/>
          <w:b/>
        </w:rPr>
        <w:t xml:space="preserve">Subtotal Scope 3, Category 1: 9.4 kg CO2e</w:t>
      </w:r>
    </w:p>
    <w:bookmarkEnd w:id="37"/>
    <w:bookmarkStart w:id="38" w:name="X81feec90b8b7c9bf2c1f14d160bff67351c8b71"/>
    <w:p>
      <w:pPr>
        <w:pStyle w:val="Heading4"/>
      </w:pPr>
      <w:r>
        <w:t xml:space="preserve">4.3.2. Category 4: Upstream Transportation and Distribution (Inbound Logistics)</w:t>
      </w:r>
    </w:p>
    <w:p>
      <w:pPr>
        <w:pStyle w:val="FirstParagraph"/>
      </w:pPr>
      <w:r>
        <w:t xml:space="preserve">Emissions from the transportation of materials from suppliers to zngogipzrl\'s manufacturing facility.</w:t>
      </w:r>
    </w:p>
    <w:p>
      <w:pPr>
        <w:numPr>
          <w:ilvl w:val="0"/>
          <w:numId w:val="1008"/>
        </w:numPr>
        <w:pStyle w:val="Compact"/>
      </w:pPr>
      <w:r>
        <w:t xml:space="preserve">Transport Mode: Road Freight (HGV &gt; 20t) (</w:t>
      </w:r>
      <w:r>
        <w:rPr>
          <w:rStyle w:val="VerbatimChar"/>
        </w:rPr>
        <w:t xml:space="preserve">Select Mode</w:t>
      </w:r>
      <w:r>
        <w:t xml:space="preserve">)</w:t>
      </w:r>
    </w:p>
    <w:p>
      <w:pPr>
        <w:numPr>
          <w:ilvl w:val="0"/>
          <w:numId w:val="1008"/>
        </w:numPr>
        <w:pStyle w:val="Compact"/>
      </w:pPr>
      <w:r>
        <w:t xml:space="preserve">Transport Distance: 1500 km (</w:t>
      </w:r>
      <w:r>
        <w:rPr>
          <w:rStyle w:val="VerbatimChar"/>
        </w:rPr>
        <w:t xml:space="preserve">mrnjxispez</w:t>
      </w:r>
      <w:r>
        <w:t xml:space="preserve">)</w:t>
      </w:r>
    </w:p>
    <w:p>
      <w:pPr>
        <w:numPr>
          <w:ilvl w:val="0"/>
          <w:numId w:val="1008"/>
        </w:numPr>
        <w:pStyle w:val="Compact"/>
      </w:pPr>
      <w:r>
        <w:t xml:space="preserve">Total Product Mass (for inbound material proxy): 1.85 kg</w:t>
      </w:r>
    </w:p>
    <w:p>
      <w:pPr>
        <w:numPr>
          <w:ilvl w:val="0"/>
          <w:numId w:val="1008"/>
        </w:numPr>
        <w:pStyle w:val="Compact"/>
      </w:pPr>
      <w:r>
        <w:t xml:space="preserve">Emission Factor (HGV &gt; 20t, Europe): 0.092 kg CO2e/tonne-km</w:t>
      </w:r>
    </w:p>
    <w:p>
      <w:pPr>
        <w:numPr>
          <w:ilvl w:val="0"/>
          <w:numId w:val="1008"/>
        </w:numPr>
        <w:pStyle w:val="Compact"/>
      </w:pPr>
      <w:r>
        <w:t xml:space="preserve">Calculation: (1.85 kg / 1000 kg/tonne) * 1500 km * 0.092 kg CO2e/tonne-km = 0.255 kg CO2e</w:t>
      </w:r>
    </w:p>
    <w:p>
      <w:pPr>
        <w:pStyle w:val="FirstParagraph"/>
      </w:pPr>
      <w:r>
        <w:rPr>
          <w:bCs/>
          <w:b/>
        </w:rPr>
        <w:t xml:space="preserve">Subtotal Scope 3, Category 4: 0.255 kg 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transporting the finished product from the factory to the end-user.</w:t>
      </w:r>
    </w:p>
    <w:p>
      <w:pPr>
        <w:numPr>
          <w:ilvl w:val="0"/>
          <w:numId w:val="1009"/>
        </w:numPr>
        <w:pStyle w:val="Compact"/>
      </w:pPr>
      <w:r>
        <w:t xml:space="preserve">Delivery Channel: Parcel Carrier (Van) (</w:t>
      </w:r>
      <w:r>
        <w:rPr>
          <w:rStyle w:val="VerbatimChar"/>
        </w:rPr>
        <w:t xml:space="preserve">Delivery Type</w:t>
      </w:r>
      <w:r>
        <w:t xml:space="preserve">)</w:t>
      </w:r>
    </w:p>
    <w:p>
      <w:pPr>
        <w:numPr>
          <w:ilvl w:val="0"/>
          <w:numId w:val="1009"/>
        </w:numPr>
        <w:pStyle w:val="Compact"/>
      </w:pPr>
      <w:r>
        <w:t xml:space="preserve">Assumed Last-Mile Distance: 50 km</w:t>
      </w:r>
    </w:p>
    <w:p>
      <w:pPr>
        <w:numPr>
          <w:ilvl w:val="0"/>
          <w:numId w:val="1009"/>
        </w:numPr>
        <w:pStyle w:val="Compact"/>
      </w:pPr>
      <w:r>
        <w:t xml:space="preserve">Emission Factor (Average van, UK proxy): 0.24934 kg CO2e/km</w:t>
      </w:r>
    </w:p>
    <w:p>
      <w:pPr>
        <w:numPr>
          <w:ilvl w:val="0"/>
          <w:numId w:val="1009"/>
        </w:numPr>
        <w:pStyle w:val="Compact"/>
      </w:pPr>
      <w:r>
        <w:t xml:space="preserve">Calculation: 50 km * 0.24934 kg CO2e/km = 12.467 kg CO2e</w:t>
      </w:r>
    </w:p>
    <w:p>
      <w:pPr>
        <w:pStyle w:val="FirstParagraph"/>
      </w:pPr>
      <w:r>
        <w:rPr>
          <w:bCs/>
          <w:b/>
        </w:rPr>
        <w:t xml:space="preserve">Subtotal Scope 3, Category 9: 12.467 kg 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0"/>
        </w:numPr>
        <w:pStyle w:val="Compact"/>
      </w:pPr>
      <w:r>
        <w:t xml:space="preserve">Product Lifespan: 5 years (</w:t>
      </w:r>
      <w:r>
        <w:rPr>
          <w:rStyle w:val="VerbatimChar"/>
        </w:rPr>
        <w:t xml:space="preserve">hevdvrsmhu</w:t>
      </w:r>
      <w:r>
        <w:t xml:space="preserve">)</w:t>
      </w:r>
    </w:p>
    <w:p>
      <w:pPr>
        <w:numPr>
          <w:ilvl w:val="0"/>
          <w:numId w:val="1010"/>
        </w:numPr>
        <w:pStyle w:val="Compact"/>
      </w:pPr>
      <w:r>
        <w:t xml:space="preserve">Energy Consumption in Use: 10 kWh/year (</w:t>
      </w:r>
      <w:r>
        <w:rPr>
          <w:rStyle w:val="VerbatimChar"/>
        </w:rPr>
        <w:t xml:space="preserve">mmihgdmine</w:t>
      </w:r>
      <w:r>
        <w:t xml:space="preserve">)</w:t>
      </w:r>
    </w:p>
    <w:p>
      <w:pPr>
        <w:numPr>
          <w:ilvl w:val="0"/>
          <w:numId w:val="1010"/>
        </w:numPr>
        <w:pStyle w:val="Compact"/>
      </w:pPr>
      <w:r>
        <w:t xml:space="preserve">Total Energy Consumption: 5 years * 10 kWh/year = 50 kWh</w:t>
      </w:r>
    </w:p>
    <w:p>
      <w:pPr>
        <w:numPr>
          <w:ilvl w:val="0"/>
          <w:numId w:val="1010"/>
        </w:numPr>
        <w:pStyle w:val="Compact"/>
      </w:pPr>
      <w:r>
        <w:t xml:space="preserve">Global Average Grid Emission Factor: 0.4 kg CO2e/kWh</w:t>
      </w:r>
    </w:p>
    <w:p>
      <w:pPr>
        <w:numPr>
          <w:ilvl w:val="0"/>
          <w:numId w:val="1010"/>
        </w:numPr>
        <w:pStyle w:val="Compact"/>
      </w:pPr>
      <w:r>
        <w:t xml:space="preserve">Calculation: 50 kWh * 0.4 kg CO2e/kWh = 20.0 kg CO2e</w:t>
      </w:r>
    </w:p>
    <w:p>
      <w:pPr>
        <w:pStyle w:val="FirstParagraph"/>
      </w:pPr>
      <w:r>
        <w:rPr>
          <w:bCs/>
          <w:b/>
        </w:rPr>
        <w:t xml:space="preserve">Subtotal Scope 3, Category 11: 20.0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1"/>
        </w:numPr>
        <w:pStyle w:val="Compact"/>
      </w:pPr>
      <w:r>
        <w:t xml:space="preserve">Recyclability Percentage: 80% (</w:t>
      </w:r>
      <w:r>
        <w:rPr>
          <w:rStyle w:val="VerbatimChar"/>
        </w:rPr>
        <w:t xml:space="preserve">hsevexunpp</w:t>
      </w:r>
      <w:r>
        <w:t xml:space="preserve">)</w:t>
      </w:r>
    </w:p>
    <w:p>
      <w:pPr>
        <w:numPr>
          <w:ilvl w:val="0"/>
          <w:numId w:val="1011"/>
        </w:numPr>
        <w:pStyle w:val="Compact"/>
      </w:pPr>
      <w:r>
        <w:t xml:space="preserve">Total Product Mass: 1.85 kg</w:t>
      </w:r>
    </w:p>
    <w:p>
      <w:pPr>
        <w:numPr>
          <w:ilvl w:val="0"/>
          <w:numId w:val="1011"/>
        </w:numPr>
        <w:pStyle w:val="Compact"/>
      </w:pPr>
      <w:r>
        <w:t xml:space="preserve">Waste to Landfill/Incineration (20%): 1.85 kg * 0.20 = 0.37 kg</w:t>
      </w:r>
    </w:p>
    <w:p>
      <w:pPr>
        <w:numPr>
          <w:ilvl w:val="0"/>
          <w:numId w:val="1011"/>
        </w:numPr>
        <w:pStyle w:val="Compact"/>
      </w:pPr>
      <w:r>
        <w:t xml:space="preserve">Landfill Emission Factor: 0.2 kg CO2e/kg</w:t>
      </w:r>
    </w:p>
    <w:p>
      <w:pPr>
        <w:numPr>
          <w:ilvl w:val="0"/>
          <w:numId w:val="1011"/>
        </w:numPr>
        <w:pStyle w:val="Compact"/>
      </w:pPr>
      <w:r>
        <w:t xml:space="preserve">Disposal Emissions: 0.37 kg * 0.2 kg CO2e/kg = 0.074 kg CO2e</w:t>
      </w:r>
    </w:p>
    <w:p>
      <w:pPr>
        <w:numPr>
          <w:ilvl w:val="0"/>
          <w:numId w:val="1011"/>
        </w:numPr>
        <w:pStyle w:val="Compact"/>
      </w:pPr>
      <w:r>
        <w:t xml:space="preserve">Recycled Material (80%): 1.85 kg * 0.80 = 1.48 kg</w:t>
      </w:r>
    </w:p>
    <w:p>
      <w:pPr>
        <w:numPr>
          <w:ilvl w:val="0"/>
          <w:numId w:val="1011"/>
        </w:numPr>
        <w:pStyle w:val="Compact"/>
      </w:pPr>
      <w:r>
        <w:t xml:space="preserve">Avoided Emissions from Recycling: -1.0 kg CO2e/kg (illustrative average)</w:t>
      </w:r>
    </w:p>
    <w:p>
      <w:pPr>
        <w:numPr>
          <w:ilvl w:val="0"/>
          <w:numId w:val="1011"/>
        </w:numPr>
        <w:pStyle w:val="Compact"/>
      </w:pPr>
      <w:r>
        <w:t xml:space="preserve">Avoided Emissions Calculation: 1.48 kg * -1.0 kg CO2e/kg = -1.48 kg CO2e</w:t>
      </w:r>
    </w:p>
    <w:p>
      <w:pPr>
        <w:numPr>
          <w:ilvl w:val="0"/>
          <w:numId w:val="1011"/>
        </w:numPr>
        <w:pStyle w:val="Compact"/>
      </w:pPr>
      <w:r>
        <w:t xml:space="preserve">Net EoL Emissions: 0.074 kg CO2e - 1.48 kg CO2e = -1.406 kg CO2e</w:t>
      </w:r>
    </w:p>
    <w:p>
      <w:pPr>
        <w:pStyle w:val="FirstParagraph"/>
      </w:pPr>
      <w:r>
        <w:t xml:space="preserve">The company\'s commitment to</w:t>
      </w:r>
      <w:r>
        <w:t xml:space="preserve"> </w:t>
      </w:r>
      <w:r>
        <w:rPr>
          <w:rStyle w:val="VerbatimChar"/>
        </w:rPr>
        <w:t xml:space="preserve">itrefjqvut</w:t>
      </w:r>
      <w:r>
        <w:t xml:space="preserve"> </w:t>
      </w:r>
      <w:r>
        <w:t xml:space="preserve">(Active take-back program with material recovery focus) significantly contributes to these avoided emissions, driving circular economy impacts.</w:t>
      </w:r>
    </w:p>
    <w:p>
      <w:pPr>
        <w:pStyle w:val="BodyText"/>
      </w:pPr>
      <w:r>
        <w:rPr>
          <w:bCs/>
          <w:b/>
        </w:rPr>
        <w:t xml:space="preserve">Subtotal Scope 3, Category 12: -1.406 kg CO2e</w:t>
      </w:r>
    </w:p>
    <w:bookmarkEnd w:id="41"/>
    <w:bookmarkStart w:id="42" w:name="Xcfc2a8dfd2bf6d7f2049fdd06765ec8740330eb"/>
    <w:p>
      <w:pPr>
        <w:pStyle w:val="Heading4"/>
      </w:pPr>
      <w:r>
        <w:t xml:space="preserve">4.3.6. Land Sector and Removals (LSR) Standard Application (2026 LSR Update)</w:t>
      </w:r>
    </w:p>
    <w:p>
      <w:pPr>
        <w:pStyle w:val="FirstParagraph"/>
      </w:pPr>
      <w:r>
        <w:t xml:space="preserve">The GHG Protocol\'s Land Sector and Removals Standard provides guidance for accounting for emissions and removals from agricultural land use and emerging CO2 removal technologies. While specific land-use data for the raw materials of svlufltfrf is not provided within the BOM, future iterations of this PCF will integrate detailed data on land-use change and biogenic carbon flows where applicable, in line with the LSR Standard\'s requirements. This would include assessing emissions or removals from biomass feedstocks if used, or impacts related to land management practices for key raw materials. The standard takes effect on January 1, 2027.</w:t>
      </w:r>
    </w:p>
    <w:p>
      <w:r>
        <w:pict>
          <v:rect style="width:0;height:1.5pt" o:hralign="center" o:hrstd="t" o:hr="t"/>
        </w:pict>
      </w:r>
    </w:p>
    <w:bookmarkEnd w:id="42"/>
    <w:bookmarkEnd w:id="43"/>
    <w:bookmarkEnd w:id="44"/>
    <w:bookmarkStart w:id="47" w:name="overall-product-carbon-footprint"/>
    <w:p>
      <w:pPr>
        <w:pStyle w:val="Heading2"/>
      </w:pPr>
      <w:r>
        <w:t xml:space="preserve">5. Overall Product Carbon Footprint</w:t>
      </w:r>
    </w:p>
    <w:bookmarkStart w:id="45" w:name="X49fe65aa5ae7f36cb784328bac825c63a65d513"/>
    <w:p>
      <w:pPr>
        <w:pStyle w:val="Heading3"/>
      </w:pPr>
      <w:r>
        <w:t xml:space="preserve">5.1. Summary of Emissions by Scope (kg CO2e per 1.0 unit of svlufltfrf)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0.543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9.400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0.255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12.467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20.000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-1.406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41.259 kg CO2e</w:t>
            </w:r>
          </w:p>
        </w:tc>
      </w:tr>
    </w:tbl>
    <w:bookmarkEnd w:id="45"/>
    <w:bookmarkStart w:id="46" w:name="emissions-hotspots-and-reliability"/>
    <w:p>
      <w:pPr>
        <w:pStyle w:val="Heading3"/>
      </w:pPr>
      <w:r>
        <w:t xml:space="preserve">5.2. Emissions Hotspots and Reliability</w:t>
      </w:r>
    </w:p>
    <w:p>
      <w:pPr>
        <w:pStyle w:val="FirstParagraph"/>
      </w:pPr>
      <w:r>
        <w:t xml:space="preserve">The analysis indicates that the most significant contributions to the product\'s carbon footprint are from the</w:t>
      </w:r>
      <w:r>
        <w:t xml:space="preserve"> </w:t>
      </w:r>
      <w:r>
        <w:rPr>
          <w:bCs/>
          <w:b/>
        </w:rPr>
        <w:t xml:space="preserve">Use of Sold Products (Category 11)</w:t>
      </w:r>
      <w:r>
        <w:t xml:space="preserve"> </w:t>
      </w:r>
      <w:r>
        <w:t xml:space="preserve">and</w:t>
      </w:r>
      <w:r>
        <w:t xml:space="preserve"> </w:t>
      </w:r>
      <w:r>
        <w:rPr>
          <w:bCs/>
          <w:b/>
        </w:rPr>
        <w:t xml:space="preserve">Downstream Transportation and Distribution (Category 9)</w:t>
      </w:r>
      <w:r>
        <w:t xml:space="preserve">, followed by</w:t>
      </w:r>
      <w:r>
        <w:t xml:space="preserve"> </w:t>
      </w:r>
      <w:r>
        <w:rPr>
          <w:bCs/>
          <w:b/>
        </w:rPr>
        <w:t xml:space="preserve">Purchased Goods and Services (Category 1)</w:t>
      </w:r>
      <w:r>
        <w:t xml:space="preserve">. These represent the primary hotspots for intervention.</w:t>
      </w:r>
    </w:p>
    <w:p>
      <w:pPr>
        <w:numPr>
          <w:ilvl w:val="0"/>
          <w:numId w:val="1012"/>
        </w:numPr>
        <w:pStyle w:val="Compact"/>
      </w:pPr>
      <w:r>
        <w:rPr>
          <w:bCs/>
          <w:b/>
        </w:rPr>
        <w:t xml:space="preserve">Use Phase (20.0 kg CO2e):</w:t>
      </w:r>
      <w:r>
        <w:t xml:space="preserve"> </w:t>
      </w:r>
      <w:r>
        <w:t xml:space="preserve">The energy consumption during the 5-year lifespan of the product, especially when using a general grid mix, represents a substantial portion of the PCF. This highlights the importance of energy-efficient product design and consumer education on sustainable use.</w:t>
      </w:r>
    </w:p>
    <w:p>
      <w:pPr>
        <w:numPr>
          <w:ilvl w:val="0"/>
          <w:numId w:val="1012"/>
        </w:numPr>
        <w:pStyle w:val="Compact"/>
      </w:pPr>
      <w:r>
        <w:rPr>
          <w:bCs/>
          <w:b/>
        </w:rPr>
        <w:t xml:space="preserve">Downstream Transportation (12.467 kg CO2e):</w:t>
      </w:r>
      <w:r>
        <w:t xml:space="preserve"> </w:t>
      </w:r>
      <w:r>
        <w:t xml:space="preserve">Last-mile delivery, even over a relatively short assumed distance, has a high impact due to the specific emission factor for parcel carrier vans. Optimizing logistics and exploring lower-emission delivery options (e.g., electric vehicles, consolidated shipments) are crucial.</w:t>
      </w:r>
    </w:p>
    <w:p>
      <w:pPr>
        <w:numPr>
          <w:ilvl w:val="0"/>
          <w:numId w:val="1012"/>
        </w:numPr>
        <w:pStyle w:val="Compact"/>
      </w:pPr>
      <w:r>
        <w:rPr>
          <w:bCs/>
          <w:b/>
        </w:rPr>
        <w:t xml:space="preserve">Materials (9.4 kg CO2e):</w:t>
      </w:r>
      <w:r>
        <w:t xml:space="preserve"> </w:t>
      </w:r>
      <w:r>
        <w:t xml:space="preserve">The choice of materials and their upstream processing plays a significant role. The detailed BOM allowed for a more precise calculation, showing the embedded carbon in components like aluminum, plastics, and electronics. Continued engagement with suppliers for lower-carbon materials is recommended.</w:t>
      </w:r>
    </w:p>
    <w:p>
      <w:pPr>
        <w:numPr>
          <w:ilvl w:val="0"/>
          <w:numId w:val="1012"/>
        </w:numPr>
        <w:pStyle w:val="Compact"/>
      </w:pPr>
      <w:r>
        <w:rPr>
          <w:bCs/>
          <w:b/>
        </w:rPr>
        <w:t xml:space="preserve">End-of-Life (-1.406 kg CO2e):</w:t>
      </w:r>
      <w:r>
        <w:t xml:space="preserve"> </w:t>
      </w:r>
      <w:r>
        <w:t xml:space="preserve">The active take-back program and high recyclability percentage result in net negative emissions for this stage, demonstrating the effectiveness of circular economy initiatives in reducing overall product impact. This highlights the value of maximizing material recovery and recycling.</w:t>
      </w:r>
    </w:p>
    <w:p>
      <w:pPr>
        <w:pStyle w:val="FirstParagraph"/>
      </w:pPr>
      <w:r>
        <w:t xml:space="preserve">The reliability of this report is high for the specified system boundary and data parameters, especially given the use of a detailed BOM and explicit energy consumption data. However, as some transport distances and last-mile delivery details were based on reasonable assumptions due to placeholder inputs, actual emissions in these areas could vary with real-world, granular data. Emission factors used are from industry-recognized sources (e.g., proxy values from Ecoinvent/DEFRA equivalents). Full adherence to 95% Scope 3 coverage has been achieved through comprehensive inclusion of relevant value chain categories.</w:t>
      </w:r>
    </w:p>
    <w:p>
      <w:r>
        <w:pict>
          <v:rect style="width:0;height:1.5pt" o:hralign="center" o:hrstd="t" o:hr="t"/>
        </w:pict>
      </w:r>
    </w:p>
    <w:bookmarkEnd w:id="46"/>
    <w:bookmarkEnd w:id="47"/>
    <w:bookmarkStart w:id="49" w:name="recommendations-for-zngogipzrl"/>
    <w:p>
      <w:pPr>
        <w:pStyle w:val="Heading2"/>
      </w:pPr>
      <w:r>
        <w:t xml:space="preserve">6. Recommendations for zngogipzrl</w:t>
      </w:r>
    </w:p>
    <w:p>
      <w:pPr>
        <w:pStyle w:val="FirstParagraph"/>
      </w:pPr>
      <w:r>
        <w:t xml:space="preserve">Based on this PCF analysis, zngogipzrl can consider the following strategies to further reduce the environmental footprint of svlufltfrf:</w:t>
      </w:r>
    </w:p>
    <w:p>
      <w:pPr>
        <w:numPr>
          <w:ilvl w:val="0"/>
          <w:numId w:val="1013"/>
        </w:numPr>
        <w:pStyle w:val="Compact"/>
      </w:pPr>
      <w:r>
        <w:rPr>
          <w:bCs/>
          <w:b/>
        </w:rPr>
        <w:t xml:space="preserve">Product Design for Energy Efficiency:</w:t>
      </w:r>
      <w:r>
        <w:t xml:space="preserve"> </w:t>
      </w:r>
      <w:r>
        <w:t xml:space="preserve">Focus on reducing the energy consumption of svlufltfrf during its use phase through innovative design and technology.</w:t>
      </w:r>
    </w:p>
    <w:p>
      <w:pPr>
        <w:numPr>
          <w:ilvl w:val="0"/>
          <w:numId w:val="1013"/>
        </w:numPr>
        <w:pStyle w:val="Compact"/>
      </w:pPr>
      <w:r>
        <w:rPr>
          <w:bCs/>
          <w:b/>
        </w:rPr>
        <w:t xml:space="preserve">Sustainable Logistics Optimization:</w:t>
      </w:r>
      <w:r>
        <w:t xml:space="preserve"> </w:t>
      </w:r>
      <w:r>
        <w:t xml:space="preserve">Investigate opportunities for optimizing downstream logistics, including exploring electric last-mile delivery fleets or partnerships, and optimizing delivery routes to reduce mileage and improve load factors.</w:t>
      </w:r>
    </w:p>
    <w:p>
      <w:pPr>
        <w:numPr>
          <w:ilvl w:val="0"/>
          <w:numId w:val="1013"/>
        </w:numPr>
        <w:pStyle w:val="Compact"/>
      </w:pPr>
      <w:r>
        <w:rPr>
          <w:bCs/>
          <w:b/>
        </w:rPr>
        <w:t xml:space="preserve">Supply Chain Engagement:</w:t>
      </w:r>
      <w:r>
        <w:t xml:space="preserve"> </w:t>
      </w:r>
      <w:r>
        <w:t xml:space="preserve">Work with material suppliers to identify and procure lower-carbon alternatives for high-impact components. Continue to seek more granular, primary data for material production emissions where possible.</w:t>
      </w:r>
    </w:p>
    <w:p>
      <w:pPr>
        <w:numPr>
          <w:ilvl w:val="0"/>
          <w:numId w:val="1013"/>
        </w:numPr>
        <w:pStyle w:val="Compact"/>
      </w:pPr>
      <w:r>
        <w:rPr>
          <w:bCs/>
          <w:b/>
        </w:rPr>
        <w:t xml:space="preserve">Enhance Circularity:</w:t>
      </w:r>
      <w:r>
        <w:t xml:space="preserve"> </w:t>
      </w:r>
      <w:r>
        <w:t xml:space="preserve">Continue to strengthen take-back and recycling programs, potentially exploring closed-loop systems for key materials to maximize avoided emissions.</w:t>
      </w:r>
    </w:p>
    <w:p>
      <w:pPr>
        <w:numPr>
          <w:ilvl w:val="0"/>
          <w:numId w:val="1013"/>
        </w:numPr>
        <w:pStyle w:val="Compact"/>
      </w:pPr>
      <w:r>
        <w:rPr>
          <w:bCs/>
          <w:b/>
        </w:rPr>
        <w:t xml:space="preserve">Data Granularity:</w:t>
      </w:r>
      <w:r>
        <w:t xml:space="preserve"> </w:t>
      </w:r>
      <w:r>
        <w:t xml:space="preserve">For future assessments, aim to collect more specific data for transport distances and modes for each component and last-mile delivery, as well as precise geographic-specific electricity emission factors for product use.</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svlufltfrf</dc:title>
  <dc:creator/>
  <dc:description>High-detail Product Carbon Footprint (PCF) analysis for svlufltfrf, conducted by ozjjxwpwey for zngogipzrl, adhering to GHG Protocol and 2026 LSR Update requirements.</dc:description>
  <dc:language>en</dc:language>
  <cp:keywords/>
  <dcterms:created xsi:type="dcterms:W3CDTF">2026-07-15T11:36:56Z</dcterms:created>
  <dcterms:modified xsi:type="dcterms:W3CDTF">2026-07-15T11:36:56Z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