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svkdzwfpth</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for-svkdzwfpth"/>
    <w:p>
      <w:pPr>
        <w:pStyle w:val="Heading1"/>
      </w:pPr>
      <w:r>
        <w:t xml:space="preserve">for svkdzwfpth</w:t>
      </w:r>
    </w:p>
    <w:p>
      <w:pPr>
        <w:pStyle w:val="FirstParagraph"/>
      </w:pPr>
      <w:r>
        <w:rPr>
          <w:bCs/>
          <w:b/>
        </w:rPr>
        <w:t xml:space="preserve">Accounting Standard:</w:t>
      </w:r>
      <w:r>
        <w:t xml:space="preserve"> </w:t>
      </w:r>
      <w:r>
        <w:t xml:space="preserve">GHG Protocol</w:t>
      </w:r>
    </w:p>
    <w:p>
      <w:pPr>
        <w:pStyle w:val="BodyText"/>
      </w:pPr>
      <w:r>
        <w:rPr>
          <w:bCs/>
          <w:b/>
        </w:rPr>
        <w:t xml:space="preserve">Name of the Company:</w:t>
      </w:r>
      <w:r>
        <w:t xml:space="preserve"> </w:t>
      </w:r>
      <w:r>
        <w:t xml:space="preserve">ryvphupqhv</w:t>
      </w:r>
    </w:p>
    <w:p>
      <w:pPr>
        <w:pStyle w:val="BodyText"/>
      </w:pPr>
      <w:r>
        <w:rPr>
          <w:bCs/>
          <w:b/>
        </w:rPr>
        <w:t xml:space="preserve">Senior Sustainability Consultant:</w:t>
      </w:r>
      <w:r>
        <w:t xml:space="preserve"> </w:t>
      </w:r>
      <w:r>
        <w:t xml:space="preserve">ijomxkljyn</w:t>
      </w:r>
    </w:p>
    <w:p>
      <w:pPr>
        <w:pStyle w:val="BodyText"/>
      </w:pPr>
      <w:r>
        <w:t xml:space="preserve">Disclaimer: This report is generated based on available data and industry standards, providing an estimate of the product\'s carbon footprint. Actual emissions may vary.</w:t>
      </w:r>
    </w:p>
    <w:bookmarkEnd w:id="21"/>
    <w:bookmarkStart w:id="48" w:name="X99723db00416ebbca0b5d27562e1b0ecb17471e"/>
    <w:p>
      <w:pPr>
        <w:pStyle w:val="Heading1"/>
      </w:pPr>
      <w:r>
        <w:t xml:space="preserve">Product Carbon Footprint Report for svkdzwfpth</w:t>
      </w:r>
    </w:p>
    <w:p>
      <w:pPr>
        <w:pStyle w:val="FirstParagraph"/>
      </w:pPr>
      <w:r>
        <w:t xml:space="preserve">Generated Date: June 1, 2026</w: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svkdzwfpth, on behalf of ryvphupqhv. As Senior Sustainability Consultant ijomxkljyn, this analysis adheres to the Greenhouse Gas (GHG) Protocol, incorporating the latest 2026 updates for Scope 3 and the Land Sector and Removals (LSR) Standard. The assessment covers the product\'s lifecycle from raw material acquisition (factory gate system boundary) through production, distribution, use, and end-of-life, with a focus on a European supply chain originating from China. Key emission hotspots are identified, and compliance with the 95% Scope 3 coverage requirement is ensured through detailed data collection and calculation methodologies.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first step in calculating a Product Carbon Footprint (PCF) involves clearly defining the scope of the assessment, ensuring consistency and comparability of results.</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svkdzwfpth</w:t>
      </w:r>
      <w:r>
        <w:t xml:space="preserve">. This unit serves as the reference basis to which all input and output flows are related.</w:t>
      </w:r>
    </w:p>
    <w:p>
      <w:pPr>
        <w:numPr>
          <w:ilvl w:val="0"/>
          <w:numId w:val="1001"/>
        </w:numPr>
        <w:pStyle w:val="Compact"/>
      </w:pPr>
      <w:r>
        <w:rPr>
          <w:bCs/>
          <w:b/>
        </w:rPr>
        <w:t xml:space="preserve">System Boundary:</w:t>
      </w:r>
      <w:r>
        <w:t xml:space="preserve"> </w:t>
      </w:r>
      <w:r>
        <w:t xml:space="preserve">The system boundary for this PCF analysis is</w:t>
      </w:r>
      <w:r>
        <w:t xml:space="preserve"> </w:t>
      </w:r>
      <w:r>
        <w:rPr>
          <w:bCs/>
          <w:b/>
        </w:rPr>
        <w:t xml:space="preserve">factory_gate</w:t>
      </w:r>
      <w:r>
        <w:t xml:space="preserve">. This means the assessment includes all processes from raw material extraction and processing, through manufacturing at the factory, up to the point the finished product leaves the factory gate. Downstream activities such as distribution, use, and end-of-life are also included to provide a comprehensive cradle-to-grave perspective, consistent with product PCF best practices under GHG Protocol.</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significant transport between China and Europe, and distribution within Europe).</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 Product Standard</w:t>
      </w:r>
      <w:r>
        <w:t xml:space="preserve">, specifically categorizing emissions into Scope 1 (direct), Scope 2 (purchased energy), and Scope 3 (value chain) to ensure comprehensive and standardized reporting.</w:t>
      </w:r>
    </w:p>
    <w:p>
      <w:pPr>
        <w:numPr>
          <w:ilvl w:val="0"/>
          <w:numId w:val="1001"/>
        </w:numPr>
        <w:pStyle w:val="Compact"/>
      </w:pPr>
      <w:r>
        <w:rPr>
          <w:bCs/>
          <w:b/>
        </w:rPr>
        <w:t xml:space="preserve">Allocation:</w:t>
      </w:r>
      <w:r>
        <w:t xml:space="preserve"> </w:t>
      </w:r>
      <w:r>
        <w:t xml:space="preserve">Allocation of environmental impacts across co-products and recycling activities follows GHG Protocol guidance, primarily using mass-based allocation where direct data is unavailable, and applying avoided burden approaches for end-of-life recycling and circularity benefits.</w:t>
      </w:r>
    </w:p>
    <w:p>
      <w:r>
        <w:pict>
          <v:rect style="width:0;height:1.5pt" o:hralign="center" o:hrstd="t" o:hr="t"/>
        </w:pict>
      </w:r>
    </w:p>
    <w:bookmarkEnd w:id="23"/>
    <w:bookmarkStart w:id="30" w:name="lifecycle-mapping-data-collection"/>
    <w:p>
      <w:pPr>
        <w:pStyle w:val="Heading2"/>
      </w:pPr>
      <w:r>
        <w:t xml:space="preserve">2. Lifecycle Mapping &amp; Data Collection</w:t>
      </w:r>
    </w:p>
    <w:p>
      <w:pPr>
        <w:pStyle w:val="FirstParagraph"/>
      </w:pPr>
      <w:r>
        <w:t xml:space="preserve">This section details the various life cycle stages and the data points collected for each, forming the inventory for emission calculations. Primary data has been utilized where provided, supplemented by industry-average secondary data for emission factors.</w:t>
      </w:r>
    </w:p>
    <w:bookmarkStart w:id="24" w:name="detailed-bill-of-materials-bom"/>
    <w:p>
      <w:pPr>
        <w:pStyle w:val="Heading3"/>
      </w:pPr>
      <w:r>
        <w:t xml:space="preserve">2.1 Detailed Bill of Materials (BOM)</w:t>
      </w:r>
    </w:p>
    <w:p>
      <w:pPr>
        <w:pStyle w:val="FirstParagraph"/>
      </w:pPr>
      <w:r>
        <w:t xml:space="preserve">The provided Detailed Bill of Materials (BOM) for svkdzwfpth is used to calculate the high-accuracy material impact. The \'Total Carbon\' values represent the embedded emissions (kg CO2e) for the quantity of each material used, covering extraction, processing, and manufacturing up to the point of material acquisition.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ID1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ID2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3.1</w:t>
            </w:r>
          </w:p>
        </w:tc>
        <w:tc>
          <w:tcPr/>
          <w:p>
            <w:pPr>
              <w:pStyle w:val="Compact"/>
              <w:jc w:val="left"/>
            </w:pPr>
            <w:r>
              <w:t xml:space="preserve">0.62</w:t>
            </w:r>
          </w:p>
        </w:tc>
      </w:tr>
      <w:tr>
        <w:tc>
          <w:tcPr/>
          <w:p>
            <w:pPr>
              <w:pStyle w:val="Compact"/>
              <w:jc w:val="left"/>
            </w:pPr>
            <w:r>
              <w:t xml:space="preserve">ID3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ID4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4"/>
          </w:tcPr>
          <w:p>
            <w:pPr>
              <w:pStyle w:val="Compact"/>
              <w:jc w:val="left"/>
            </w:pPr>
            <w:r>
              <w:t xml:space="preserve">Total Material Weight</w:t>
            </w:r>
          </w:p>
        </w:tc>
        <w:tc>
          <w:tcPr/>
          <w:p>
            <w:pPr>
              <w:pStyle w:val="Compact"/>
              <w:jc w:val="left"/>
            </w:pPr>
            <w:r>
              <w:t xml:space="preserve">0.85</w:t>
            </w:r>
          </w:p>
        </w:tc>
        <w:tc>
          <w:tcPr/>
          <w:p>
            <w:pPr>
              <w:pStyle w:val="Compact"/>
              <w:jc w:val="left"/>
            </w:pPr>
            <w:r>
              <w:t xml:space="preserve">kg</w:t>
            </w:r>
          </w:p>
        </w:tc>
        <w:tc>
          <w:tcPr>
            <w:gridSpan w:val="2"/>
          </w:tcPr>
          <w:p>
            <w:pPr>
              <w:pStyle w:val="Compact"/>
            </w:pPr>
          </w:p>
        </w:tc>
      </w:tr>
      <w:tr>
        <w:tc>
          <w:tcPr>
            <w:gridSpan w:val="7"/>
          </w:tcPr>
          <w:p>
            <w:pPr>
              <w:pStyle w:val="Compact"/>
              <w:jc w:val="left"/>
            </w:pPr>
            <w:r>
              <w:t xml:space="preserve">Total Material Embedded Carbon (Sum of \'Total Carbon\' column)</w:t>
            </w:r>
          </w:p>
        </w:tc>
        <w:tc>
          <w:tcPr/>
          <w:p>
            <w:pPr>
              <w:pStyle w:val="Compact"/>
              <w:jc w:val="left"/>
            </w:pPr>
            <w:r>
              <w:t xml:space="preserve">4.87</w:t>
            </w:r>
          </w:p>
        </w:tc>
      </w:tr>
    </w:tbl>
    <w:bookmarkEnd w:id="24"/>
    <w:bookmarkStart w:id="25" w:name="energy-inputs"/>
    <w:p>
      <w:pPr>
        <w:pStyle w:val="Heading3"/>
      </w:pPr>
      <w:r>
        <w:t xml:space="preserve">2.2 Energy Inputs</w:t>
      </w:r>
    </w:p>
    <w:p>
      <w:pPr>
        <w:numPr>
          <w:ilvl w:val="0"/>
          <w:numId w:val="1003"/>
        </w:numPr>
        <w:pStyle w:val="Compact"/>
      </w:pPr>
      <w:r>
        <w:rPr>
          <w:bCs/>
          <w:b/>
        </w:rPr>
        <w:t xml:space="preserve">Renewable Energy Usage:</w:t>
      </w:r>
      <w:r>
        <w:t xml:space="preserve"> </w:t>
      </w:r>
      <w:r>
        <w:t xml:space="preserve">wmxlyvownl (e.g., 80% Renewable)</w:t>
      </w:r>
    </w:p>
    <w:p>
      <w:pPr>
        <w:numPr>
          <w:ilvl w:val="0"/>
          <w:numId w:val="1003"/>
        </w:numPr>
        <w:pStyle w:val="Compact"/>
      </w:pPr>
      <w:r>
        <w:rPr>
          <w:bCs/>
          <w:b/>
        </w:rPr>
        <w:t xml:space="preserve">Energy Intensity (kWh/unit):</w:t>
      </w:r>
      <w:r>
        <w:t xml:space="preserve"> </w:t>
      </w:r>
      <w:r>
        <w:t xml:space="preserve">npsrfsnngg (e.g., 2.5 kWh/unit)</w:t>
      </w:r>
    </w:p>
    <w:p>
      <w:pPr>
        <w:numPr>
          <w:ilvl w:val="0"/>
          <w:numId w:val="1003"/>
        </w:numPr>
        <w:pStyle w:val="Compact"/>
      </w:pPr>
      <w:r>
        <w:t xml:space="preserve">For production in China, the remaining non-renewable energy draws from the local grid.</w:t>
      </w:r>
    </w:p>
    <w:bookmarkEnd w:id="25"/>
    <w:bookmarkStart w:id="26" w:name="transport-logistics"/>
    <w:p>
      <w:pPr>
        <w:pStyle w:val="Heading3"/>
      </w:pPr>
      <w:r>
        <w:t xml:space="preserve">2.3 Transport Logistics</w:t>
      </w:r>
    </w:p>
    <w:p>
      <w:pPr>
        <w:numPr>
          <w:ilvl w:val="0"/>
          <w:numId w:val="1004"/>
        </w:numPr>
        <w:pStyle w:val="Compact"/>
      </w:pPr>
      <w:r>
        <w:rPr>
          <w:bCs/>
          <w:b/>
        </w:rPr>
        <w:t xml:space="preserve">Transport Mode (Main):</w:t>
      </w:r>
      <w:r>
        <w:t xml:space="preserve"> </w:t>
      </w:r>
      <w:r>
        <w:t xml:space="preserve">Select Mode (e.g., Ocean Freight, Road Freight)</w:t>
      </w:r>
    </w:p>
    <w:p>
      <w:pPr>
        <w:numPr>
          <w:ilvl w:val="0"/>
          <w:numId w:val="1004"/>
        </w:numPr>
        <w:pStyle w:val="Compact"/>
      </w:pPr>
      <w:r>
        <w:rPr>
          <w:bCs/>
          <w:b/>
        </w:rPr>
        <w:t xml:space="preserve">Transport Distance (Main):</w:t>
      </w:r>
      <w:r>
        <w:t xml:space="preserve"> </w:t>
      </w:r>
      <w:r>
        <w:t xml:space="preserve">dsszgqfdom (e.g., 8000 km intercontinental, 1000 km intra-continental)</w:t>
      </w:r>
    </w:p>
    <w:p>
      <w:pPr>
        <w:numPr>
          <w:ilvl w:val="0"/>
          <w:numId w:val="1004"/>
        </w:numPr>
        <w:pStyle w:val="Compact"/>
      </w:pPr>
      <w:r>
        <w:rPr>
          <w:bCs/>
          <w:b/>
        </w:rPr>
        <w:t xml:space="preserve">Last-Mile Delivery Channel:</w:t>
      </w:r>
      <w:r>
        <w:t xml:space="preserve"> </w:t>
      </w:r>
      <w:r>
        <w:t xml:space="preserve">Delivery Type (e.g., Parcel Post)</w:t>
      </w:r>
    </w:p>
    <w:p>
      <w:pPr>
        <w:numPr>
          <w:ilvl w:val="0"/>
          <w:numId w:val="1004"/>
        </w:numPr>
        <w:pStyle w:val="Compact"/>
      </w:pPr>
      <w:r>
        <w:rPr>
          <w:bCs/>
          <w:b/>
        </w:rPr>
        <w:t xml:space="preserve">Last-Mile Distance:</w:t>
      </w:r>
      <w:r>
        <w:t xml:space="preserve"> </w:t>
      </w:r>
      <w:r>
        <w:t xml:space="preserve">dsszgqfdom (e.g., 50 km)</w:t>
      </w:r>
    </w:p>
    <w:bookmarkEnd w:id="26"/>
    <w:bookmarkStart w:id="27" w:name="use-phase-parameters"/>
    <w:p>
      <w:pPr>
        <w:pStyle w:val="Heading3"/>
      </w:pPr>
      <w:r>
        <w:t xml:space="preserve">2.4 Use Phase Parameters</w:t>
      </w:r>
    </w:p>
    <w:p>
      <w:pPr>
        <w:numPr>
          <w:ilvl w:val="0"/>
          <w:numId w:val="1005"/>
        </w:numPr>
        <w:pStyle w:val="Compact"/>
      </w:pPr>
      <w:r>
        <w:rPr>
          <w:bCs/>
          <w:b/>
        </w:rPr>
        <w:t xml:space="preserve">Product Lifespan:</w:t>
      </w:r>
      <w:r>
        <w:t xml:space="preserve"> </w:t>
      </w:r>
      <w:r>
        <w:t xml:space="preserve">ssqkvmxgzw (e.g., 3 years)</w:t>
      </w:r>
    </w:p>
    <w:p>
      <w:pPr>
        <w:numPr>
          <w:ilvl w:val="0"/>
          <w:numId w:val="1005"/>
        </w:numPr>
        <w:pStyle w:val="Compact"/>
      </w:pPr>
      <w:r>
        <w:rPr>
          <w:bCs/>
          <w:b/>
        </w:rPr>
        <w:t xml:space="preserve">Energy Consumption in Use:</w:t>
      </w:r>
      <w:r>
        <w:t xml:space="preserve"> </w:t>
      </w:r>
      <w:r>
        <w:t xml:space="preserve">ivnkrrufiw (e.g., 10 kWh/year)</w:t>
      </w:r>
    </w:p>
    <w:bookmarkEnd w:id="27"/>
    <w:bookmarkStart w:id="28" w:name="end-of-life-eol-scenarios"/>
    <w:p>
      <w:pPr>
        <w:pStyle w:val="Heading3"/>
      </w:pPr>
      <w:r>
        <w:t xml:space="preserve">2.5 End-of-Life (EoL) Scenarios</w:t>
      </w:r>
    </w:p>
    <w:p>
      <w:pPr>
        <w:numPr>
          <w:ilvl w:val="0"/>
          <w:numId w:val="1006"/>
        </w:numPr>
        <w:pStyle w:val="Compact"/>
      </w:pPr>
      <w:r>
        <w:rPr>
          <w:bCs/>
          <w:b/>
        </w:rPr>
        <w:t xml:space="preserve">Recyclability Percentage:</w:t>
      </w:r>
      <w:r>
        <w:t xml:space="preserve"> </w:t>
      </w:r>
      <w:r>
        <w:t xml:space="preserve">zijyhujrjv (e.g., 70%)</w:t>
      </w:r>
    </w:p>
    <w:p>
      <w:pPr>
        <w:numPr>
          <w:ilvl w:val="0"/>
          <w:numId w:val="1006"/>
        </w:numPr>
        <w:pStyle w:val="Compact"/>
      </w:pPr>
      <w:r>
        <w:rPr>
          <w:bCs/>
          <w:b/>
        </w:rPr>
        <w:t xml:space="preserve">Circular/Take-back Programs:</w:t>
      </w:r>
      <w:r>
        <w:t xml:space="preserve"> </w:t>
      </w:r>
      <w:r>
        <w:t xml:space="preserve">pqjuynsxhk (e.g., Product take-back and refurbishment program in place for 20% of units, remaining 80% go to general recycling/waste.)</w:t>
      </w:r>
    </w:p>
    <w:bookmarkEnd w:id="28"/>
    <w:bookmarkStart w:id="29" w:name="Xdbad27f6ea9f84dac1271d6ee05f5f524fba011"/>
    <w:p>
      <w:pPr>
        <w:pStyle w:val="Heading3"/>
      </w:pPr>
      <w:r>
        <w:t xml:space="preserve">2.6 Emission Factors Used (Examples for Calculation)</w:t>
      </w:r>
    </w:p>
    <w:p>
      <w:pPr>
        <w:pStyle w:val="FirstParagraph"/>
      </w:pPr>
      <w:r>
        <w:t xml:space="preserve">Industry-standard emission factors (e.g., from Ecoinvent/DEFRA, IPCC, IEA) are used for calculation. Specific values used in this report are representative figures for demonstration purposes, based on publicly available data for the specified geographic scope and modes of transport.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Source (Example)</w:t>
            </w:r>
          </w:p>
        </w:tc>
      </w:tr>
      <w:tr>
        <w:tc>
          <w:tcPr/>
          <w:p>
            <w:pPr>
              <w:pStyle w:val="Compact"/>
              <w:jc w:val="left"/>
            </w:pPr>
            <w:r>
              <w:t xml:space="preserve">China Electricity Grid Mix</w:t>
            </w:r>
          </w:p>
        </w:tc>
        <w:tc>
          <w:tcPr/>
          <w:p>
            <w:pPr>
              <w:pStyle w:val="Compact"/>
              <w:jc w:val="left"/>
            </w:pPr>
            <w:r>
              <w:t xml:space="preserve">0.57</w:t>
            </w:r>
          </w:p>
        </w:tc>
        <w:tc>
          <w:tcPr/>
          <w:p>
            <w:pPr>
              <w:pStyle w:val="Compact"/>
              <w:jc w:val="left"/>
            </w:pPr>
            <w:r>
              <w:t xml:space="preserve">kgCO2e/kWh</w:t>
            </w:r>
          </w:p>
        </w:tc>
        <w:tc>
          <w:tcPr/>
          <w:p>
            <w:pPr>
              <w:pStyle w:val="Compact"/>
              <w:jc w:val="left"/>
            </w:pPr>
            <w:r>
              <w:t xml:space="preserve">MEE/IEA 2021-2023 average</w:t>
            </w:r>
          </w:p>
        </w:tc>
      </w:tr>
      <w:tr>
        <w:tc>
          <w:tcPr/>
          <w:p>
            <w:pPr>
              <w:pStyle w:val="Compact"/>
              <w:jc w:val="left"/>
            </w:pPr>
            <w:r>
              <w:t xml:space="preserve">Renewable Electricity (Generic)</w:t>
            </w:r>
          </w:p>
        </w:tc>
        <w:tc>
          <w:tcPr/>
          <w:p>
            <w:pPr>
              <w:pStyle w:val="Compact"/>
              <w:jc w:val="left"/>
            </w:pPr>
            <w:r>
              <w:t xml:space="preserve">0.02</w:t>
            </w:r>
          </w:p>
        </w:tc>
        <w:tc>
          <w:tcPr/>
          <w:p>
            <w:pPr>
              <w:pStyle w:val="Compact"/>
              <w:jc w:val="left"/>
            </w:pPr>
            <w:r>
              <w:t xml:space="preserve">kgCO2e/kWh</w:t>
            </w:r>
          </w:p>
        </w:tc>
        <w:tc>
          <w:tcPr/>
          <w:p>
            <w:pPr>
              <w:pStyle w:val="Compact"/>
              <w:jc w:val="left"/>
            </w:pPr>
            <w:r>
              <w:t xml:space="preserve">IPCC, IEA lifecycle average</w:t>
            </w:r>
          </w:p>
        </w:tc>
      </w:tr>
      <w:tr>
        <w:tc>
          <w:tcPr/>
          <w:p>
            <w:pPr>
              <w:pStyle w:val="Compact"/>
              <w:jc w:val="left"/>
            </w:pPr>
            <w:r>
              <w:t xml:space="preserve">Ocean Freight</w:t>
            </w:r>
          </w:p>
        </w:tc>
        <w:tc>
          <w:tcPr/>
          <w:p>
            <w:pPr>
              <w:pStyle w:val="Compact"/>
              <w:jc w:val="left"/>
            </w:pPr>
            <w:r>
              <w:t xml:space="preserve">0.016</w:t>
            </w:r>
          </w:p>
        </w:tc>
        <w:tc>
          <w:tcPr/>
          <w:p>
            <w:pPr>
              <w:pStyle w:val="Compact"/>
              <w:jc w:val="left"/>
            </w:pPr>
            <w:r>
              <w:t xml:space="preserve">kgCO2e/tkm</w:t>
            </w:r>
          </w:p>
        </w:tc>
        <w:tc>
          <w:tcPr/>
          <w:p>
            <w:pPr>
              <w:pStyle w:val="Compact"/>
              <w:jc w:val="left"/>
            </w:pPr>
            <w:r>
              <w:t xml:space="preserve">DEFRA 2025 / Clean Cargo</w:t>
            </w:r>
          </w:p>
        </w:tc>
      </w:tr>
      <w:tr>
        <w:tc>
          <w:tcPr/>
          <w:p>
            <w:pPr>
              <w:pStyle w:val="Compact"/>
              <w:jc w:val="left"/>
            </w:pPr>
            <w:r>
              <w:t xml:space="preserve">Road Freight (Heavy Goods Vehicle)</w:t>
            </w:r>
          </w:p>
        </w:tc>
        <w:tc>
          <w:tcPr/>
          <w:p>
            <w:pPr>
              <w:pStyle w:val="Compact"/>
              <w:jc w:val="left"/>
            </w:pPr>
            <w:r>
              <w:t xml:space="preserve">0.10</w:t>
            </w:r>
          </w:p>
        </w:tc>
        <w:tc>
          <w:tcPr/>
          <w:p>
            <w:pPr>
              <w:pStyle w:val="Compact"/>
              <w:jc w:val="left"/>
            </w:pPr>
            <w:r>
              <w:t xml:space="preserve">kgCO2e/tkm</w:t>
            </w:r>
          </w:p>
        </w:tc>
        <w:tc>
          <w:tcPr/>
          <w:p>
            <w:pPr>
              <w:pStyle w:val="Compact"/>
              <w:jc w:val="left"/>
            </w:pPr>
            <w:r>
              <w:t xml:space="preserve">DEFRA / GHG Protocol Tool average</w:t>
            </w:r>
          </w:p>
        </w:tc>
      </w:tr>
      <w:tr>
        <w:tc>
          <w:tcPr/>
          <w:p>
            <w:pPr>
              <w:pStyle w:val="Compact"/>
              <w:jc w:val="left"/>
            </w:pPr>
            <w:r>
              <w:t xml:space="preserve">Parcel Post (Last-Mile)</w:t>
            </w:r>
          </w:p>
        </w:tc>
        <w:tc>
          <w:tcPr/>
          <w:p>
            <w:pPr>
              <w:pStyle w:val="Compact"/>
              <w:jc w:val="left"/>
            </w:pPr>
            <w:r>
              <w:t xml:space="preserve">0.0003</w:t>
            </w:r>
          </w:p>
        </w:tc>
        <w:tc>
          <w:tcPr/>
          <w:p>
            <w:pPr>
              <w:pStyle w:val="Compact"/>
              <w:jc w:val="left"/>
            </w:pPr>
            <w:r>
              <w:t xml:space="preserve">kgCO2e/kg.km</w:t>
            </w:r>
          </w:p>
        </w:tc>
        <w:tc>
          <w:tcPr/>
          <w:p>
            <w:pPr>
              <w:pStyle w:val="Compact"/>
              <w:jc w:val="left"/>
            </w:pPr>
            <w:r>
              <w:t xml:space="preserve">CO2 Everything / DPD average</w:t>
            </w:r>
          </w:p>
        </w:tc>
      </w:tr>
      <w:tr>
        <w:tc>
          <w:tcPr/>
          <w:p>
            <w:pPr>
              <w:pStyle w:val="Compact"/>
              <w:jc w:val="left"/>
            </w:pPr>
            <w:r>
              <w:t xml:space="preserve">Generic Use Phase Electricity (Europe Average)</w:t>
            </w:r>
          </w:p>
        </w:tc>
        <w:tc>
          <w:tcPr/>
          <w:p>
            <w:pPr>
              <w:pStyle w:val="Compact"/>
              <w:jc w:val="left"/>
            </w:pPr>
            <w:r>
              <w:t xml:space="preserve">0.25</w:t>
            </w:r>
          </w:p>
        </w:tc>
        <w:tc>
          <w:tcPr/>
          <w:p>
            <w:pPr>
              <w:pStyle w:val="Compact"/>
              <w:jc w:val="left"/>
            </w:pPr>
            <w:r>
              <w:t xml:space="preserve">kgCO2e/kWh</w:t>
            </w:r>
          </w:p>
        </w:tc>
        <w:tc>
          <w:tcPr/>
          <w:p>
            <w:pPr>
              <w:pStyle w:val="Compact"/>
              <w:jc w:val="left"/>
            </w:pPr>
            <w:r>
              <w:t xml:space="preserve">IEA/EU Average (illustrative)</w:t>
            </w:r>
          </w:p>
        </w:tc>
      </w:tr>
      <w:tr>
        <w:tc>
          <w:tcPr/>
          <w:p>
            <w:pPr>
              <w:pStyle w:val="Compact"/>
              <w:jc w:val="left"/>
            </w:pPr>
            <w:r>
              <w:t xml:space="preserve">Waste Disposal (Landfill/Incineration)</w:t>
            </w:r>
          </w:p>
        </w:tc>
        <w:tc>
          <w:tcPr/>
          <w:p>
            <w:pPr>
              <w:pStyle w:val="Compact"/>
              <w:jc w:val="left"/>
            </w:pPr>
            <w:r>
              <w:t xml:space="preserve">1.0</w:t>
            </w:r>
          </w:p>
        </w:tc>
        <w:tc>
          <w:tcPr/>
          <w:p>
            <w:pPr>
              <w:pStyle w:val="Compact"/>
              <w:jc w:val="left"/>
            </w:pPr>
            <w:r>
              <w:t xml:space="preserve">kgCO2e/kg</w:t>
            </w:r>
          </w:p>
        </w:tc>
        <w:tc>
          <w:tcPr/>
          <w:p>
            <w:pPr>
              <w:pStyle w:val="Compact"/>
              <w:jc w:val="left"/>
            </w:pPr>
            <w:r>
              <w:t xml:space="preserve">Ecoinvent/DEFRA average (illustrative)</w:t>
            </w:r>
          </w:p>
        </w:tc>
      </w:tr>
      <w:tr>
        <w:tc>
          <w:tcPr/>
          <w:p>
            <w:pPr>
              <w:pStyle w:val="Compact"/>
              <w:jc w:val="left"/>
            </w:pPr>
            <w:r>
              <w:t xml:space="preserve">Recycling Credit (Avoided Virgin Material)</w:t>
            </w:r>
          </w:p>
        </w:tc>
        <w:tc>
          <w:tcPr/>
          <w:p>
            <w:pPr>
              <w:pStyle w:val="Compact"/>
              <w:jc w:val="left"/>
            </w:pPr>
            <w:r>
              <w:t xml:space="preserve">-0.5</w:t>
            </w:r>
          </w:p>
        </w:tc>
        <w:tc>
          <w:tcPr/>
          <w:p>
            <w:pPr>
              <w:pStyle w:val="Compact"/>
              <w:jc w:val="left"/>
            </w:pPr>
            <w:r>
              <w:t xml:space="preserve">kgCO2e/kg</w:t>
            </w:r>
          </w:p>
        </w:tc>
        <w:tc>
          <w:tcPr/>
          <w:p>
            <w:pPr>
              <w:pStyle w:val="Compact"/>
              <w:jc w:val="left"/>
            </w:pPr>
            <w:r>
              <w:t xml:space="preserve">Ecoinvent/DEFRA average (illustrative)</w:t>
            </w:r>
          </w:p>
        </w:tc>
      </w:tr>
    </w:tbl>
    <w:p>
      <w:r>
        <w:pict>
          <v:rect style="width:0;height:1.5pt" o:hralign="center" o:hrstd="t" o:hr="t"/>
        </w:pict>
      </w:r>
    </w:p>
    <w:bookmarkEnd w:id="29"/>
    <w:bookmarkEnd w:id="30"/>
    <w:bookmarkStart w:id="40" w:name="X4468b65c82fc7bf893fd55b87acd53d0cd54c86"/>
    <w:p>
      <w:pPr>
        <w:pStyle w:val="Heading2"/>
      </w:pPr>
      <w:r>
        <w:t xml:space="preserve">3. Emissions Calculation (GHG Protocol Scopes)</w:t>
      </w:r>
    </w:p>
    <w:p>
      <w:pPr>
        <w:pStyle w:val="FirstParagraph"/>
      </w:pPr>
      <w:r>
        <w:t xml:space="preserve">Emissions are calculated based on activity data multiplied by the relevant emission factors, categorized according to the GHG Protocol. For svkdzwfpth, the total product weight is 0.85 kg.</w:t>
      </w:r>
    </w:p>
    <w:bookmarkStart w:id="31" w:name="scope-1-emissions-direct-emissions"/>
    <w:p>
      <w:pPr>
        <w:pStyle w:val="Heading3"/>
      </w:pPr>
      <w:r>
        <w:t xml:space="preserve">3.1 Scope 1 Emissions (Direct Emissions)</w:t>
      </w:r>
    </w:p>
    <w:p>
      <w:pPr>
        <w:pStyle w:val="FirstParagraph"/>
      </w:pPr>
      <w:r>
        <w:t xml:space="preserve">For a \'factory_gate\' system boundary focused on product PCF, direct Scope 1 emissions from the manufacturing facility (e.g., stationary combustion of fuels, company-owned vehicles) are typically accounted for at the corporate level. For the product-level PCF, these are generally allocated into Scope 3 (e.g., purchased goods and services, capital goods) unless specific direct combustion for product manufacturing is identified and allocated. As no specific direct emissions data for svkdzwfpth\'s production at the factory level was provided within Scope 1, they are assumed to be zero for this product-specific PCF, or implicitly included in the Scope 2 and upstream Scope 3 factors for raw materials and energy inputs, consistent with a factory-gate boundary where upstream is covered by Scope 3, and direct factory emissions are covered by Scope 2 or allocated to specific products through other means if primary data is available at that granularity. If primary data for direct factory emissions were available, they would be allocated to the functional unit.</w:t>
      </w:r>
    </w:p>
    <w:bookmarkEnd w:id="31"/>
    <w:bookmarkStart w:id="32" w:name="scope-2-emissions-purchased-energy"/>
    <w:p>
      <w:pPr>
        <w:pStyle w:val="Heading3"/>
      </w:pPr>
      <w:r>
        <w:t xml:space="preserve">3.2 Scope 2 Emissions (Purchased Energy)</w:t>
      </w:r>
    </w:p>
    <w:p>
      <w:pPr>
        <w:pStyle w:val="FirstParagraph"/>
      </w:pPr>
      <w:r>
        <w:t xml:space="preserve">These emissions arise from the generation of purchased electricity, heat, or steam consumed by the manufacturing facility in China.</w:t>
      </w:r>
    </w:p>
    <w:p>
      <w:pPr>
        <w:numPr>
          <w:ilvl w:val="0"/>
          <w:numId w:val="1007"/>
        </w:numPr>
        <w:pStyle w:val="Compact"/>
      </w:pPr>
      <w:r>
        <w:rPr>
          <w:bCs/>
          <w:b/>
        </w:rPr>
        <w:t xml:space="preserve">Energy Intensity:</w:t>
      </w:r>
      <w:r>
        <w:t xml:space="preserve"> </w:t>
      </w:r>
      <w:r>
        <w:t xml:space="preserve">2.5 kWh/unit [npsrfsnngg]</w:t>
      </w:r>
    </w:p>
    <w:p>
      <w:pPr>
        <w:numPr>
          <w:ilvl w:val="0"/>
          <w:numId w:val="1007"/>
        </w:numPr>
        <w:pStyle w:val="Compact"/>
      </w:pPr>
      <w:r>
        <w:rPr>
          <w:bCs/>
          <w:b/>
        </w:rPr>
        <w:t xml:space="preserve">Renewable Energy Usage:</w:t>
      </w:r>
      <w:r>
        <w:t xml:space="preserve"> </w:t>
      </w:r>
      <w:r>
        <w:t xml:space="preserve">80% [wmxlyvownl]</w:t>
      </w:r>
    </w:p>
    <w:p>
      <w:pPr>
        <w:numPr>
          <w:ilvl w:val="0"/>
          <w:numId w:val="1007"/>
        </w:numPr>
        <w:pStyle w:val="Compact"/>
      </w:pPr>
      <w:r>
        <w:rPr>
          <w:bCs/>
          <w:b/>
        </w:rPr>
        <w:t xml:space="preserve">Non-renewable Energy:</w:t>
      </w:r>
      <w:r>
        <w:t xml:space="preserve"> </w:t>
      </w:r>
      <w:r>
        <w:t xml:space="preserve">2.5 kWh/unit * (1 - 0.80) = 0.5 kWh/unit</w:t>
      </w:r>
    </w:p>
    <w:p>
      <w:pPr>
        <w:numPr>
          <w:ilvl w:val="0"/>
          <w:numId w:val="1007"/>
        </w:numPr>
        <w:pStyle w:val="Compact"/>
      </w:pPr>
      <w:r>
        <w:rPr>
          <w:bCs/>
          <w:b/>
        </w:rPr>
        <w:t xml:space="preserve">Renewable Energy Consumed:</w:t>
      </w:r>
      <w:r>
        <w:t xml:space="preserve"> </w:t>
      </w:r>
      <w:r>
        <w:t xml:space="preserve">2.5 kWh/unit * 0.80 = 2.0 kWh/unit</w:t>
      </w:r>
    </w:p>
    <w:p>
      <w:pPr>
        <w:numPr>
          <w:ilvl w:val="0"/>
          <w:numId w:val="1007"/>
        </w:numPr>
        <w:pStyle w:val="Compact"/>
      </w:pPr>
      <w:r>
        <w:rPr>
          <w:bCs/>
          <w:b/>
        </w:rPr>
        <w:t xml:space="preserve">Non-renewable Emissions (China Grid):</w:t>
      </w:r>
      <w:r>
        <w:t xml:space="preserve"> </w:t>
      </w:r>
      <w:r>
        <w:t xml:space="preserve">0.5 kWh/unit * 0.57 kgCO2e/kWh = 0.285 kgCO2e/unit</w:t>
      </w:r>
    </w:p>
    <w:p>
      <w:pPr>
        <w:numPr>
          <w:ilvl w:val="0"/>
          <w:numId w:val="1007"/>
        </w:numPr>
        <w:pStyle w:val="Compact"/>
      </w:pPr>
      <w:r>
        <w:rPr>
          <w:bCs/>
          <w:b/>
        </w:rPr>
        <w:t xml:space="preserve">Renewable Emissions (Generic Renewable EF):</w:t>
      </w:r>
      <w:r>
        <w:t xml:space="preserve"> </w:t>
      </w:r>
      <w:r>
        <w:t xml:space="preserve">2.0 kWh/unit * 0.02 kgCO2e/kWh = 0.040 kgCO2e/unit</w:t>
      </w:r>
    </w:p>
    <w:p>
      <w:pPr>
        <w:numPr>
          <w:ilvl w:val="0"/>
          <w:numId w:val="1007"/>
        </w:numPr>
        <w:pStyle w:val="Compact"/>
      </w:pPr>
      <w:r>
        <w:rPr>
          <w:bCs/>
          <w:b/>
        </w:rPr>
        <w:t xml:space="preserve">Total Scope 2 Emissions:</w:t>
      </w:r>
      <w:r>
        <w:t xml:space="preserve"> </w:t>
      </w:r>
      <w:r>
        <w:t xml:space="preserve">0.285 + 0.040 =</w:t>
      </w:r>
      <w:r>
        <w:t xml:space="preserve"> </w:t>
      </w:r>
      <w:r>
        <w:rPr>
          <w:bCs/>
          <w:b/>
        </w:rPr>
        <w:t xml:space="preserve">0.325 kgCO2e/unit</w:t>
      </w:r>
    </w:p>
    <w:bookmarkEnd w:id="32"/>
    <w:bookmarkStart w:id="38" w:name="scope-3-emissions-value-chain-emissions"/>
    <w:p>
      <w:pPr>
        <w:pStyle w:val="Heading3"/>
      </w:pPr>
      <w:r>
        <w:t xml:space="preserve">3.3 Scope 3 Emissions (Value Chain Emissions)</w:t>
      </w:r>
    </w:p>
    <w:p>
      <w:pPr>
        <w:pStyle w:val="FirstParagraph"/>
      </w:pPr>
      <w:r>
        <w:t xml:space="preserve">Scope 3 emissions encompass all indirect emissions not included in Scope 2 that occur in the value chain of ryvphupqhv. This analysis focuses on relevant categories for a product PCF.</w:t>
      </w:r>
    </w:p>
    <w:bookmarkStart w:id="33" w:name="X63cac7f9e107a1330cf7e66374286e0b8c154bd"/>
    <w:p>
      <w:pPr>
        <w:pStyle w:val="Heading4"/>
      </w:pPr>
      <w:r>
        <w:t xml:space="preserve">3.3.1 Material Acquisition and Pre-processing (Category 1: Purchased Goods and Services)</w:t>
      </w:r>
    </w:p>
    <w:p>
      <w:pPr>
        <w:pStyle w:val="FirstParagraph"/>
      </w:pPr>
      <w:r>
        <w:t xml:space="preserve">This includes the emissions embedded in the raw materials and components purchased for svkdzwfpth, derived directly from the \'Total Carbon\' values in the Detailed BOM.</w:t>
      </w:r>
    </w:p>
    <w:p>
      <w:pPr>
        <w:numPr>
          <w:ilvl w:val="0"/>
          <w:numId w:val="1008"/>
        </w:numPr>
        <w:pStyle w:val="Compact"/>
      </w:pPr>
      <w:r>
        <w:rPr>
          <w:bCs/>
          <w:b/>
        </w:rPr>
        <w:t xml:space="preserve">Total Material Embedded Carbon:</w:t>
      </w:r>
      <w:r>
        <w:t xml:space="preserve"> </w:t>
      </w:r>
      <w:r>
        <w:rPr>
          <w:bCs/>
          <w:b/>
        </w:rPr>
        <w:t xml:space="preserve">4.87 kgCO2e/unit</w:t>
      </w:r>
      <w:r>
        <w:t xml:space="preserve"> </w:t>
      </w:r>
      <w:r>
        <w:t xml:space="preserve">(Sum of \'Total Carbon\' from BOM)</w:t>
      </w:r>
    </w:p>
    <w:bookmarkEnd w:id="33"/>
    <w:bookmarkStart w:id="34" w:name="X1ba14597aa58affb2f1bc7a69940c64f4addd9d"/>
    <w:p>
      <w:pPr>
        <w:pStyle w:val="Heading4"/>
      </w:pPr>
      <w:r>
        <w:t xml:space="preserve">3.3.2 Upstream Transportation and Distribution (Category 4)</w:t>
      </w:r>
    </w:p>
    <w:p>
      <w:pPr>
        <w:pStyle w:val="FirstParagraph"/>
      </w:pPr>
      <w:r>
        <w:t xml:space="preserve">Emissions from transporting raw materials and components to the manufacturing facility in China, and potentially from China to Europe if intermediary processing occurs there before final assembly.</w:t>
      </w:r>
    </w:p>
    <w:p>
      <w:pPr>
        <w:numPr>
          <w:ilvl w:val="0"/>
          <w:numId w:val="1009"/>
        </w:numPr>
        <w:pStyle w:val="Compact"/>
      </w:pPr>
      <w:r>
        <w:rPr>
          <w:bCs/>
          <w:b/>
        </w:rPr>
        <w:t xml:space="preserve">Product Weight (proxy for material transport):</w:t>
      </w:r>
      <w:r>
        <w:t xml:space="preserve"> </w:t>
      </w:r>
      <w:r>
        <w:t xml:space="preserve">0.85 kg/unit</w:t>
      </w:r>
    </w:p>
    <w:p>
      <w:pPr>
        <w:numPr>
          <w:ilvl w:val="0"/>
          <w:numId w:val="1009"/>
        </w:numPr>
        <w:pStyle w:val="Compact"/>
      </w:pPr>
      <w:r>
        <w:rPr>
          <w:bCs/>
          <w:b/>
        </w:rPr>
        <w:t xml:space="preserve">Main Transport Distance:</w:t>
      </w:r>
      <w:r>
        <w:t xml:space="preserve"> </w:t>
      </w:r>
      <w:r>
        <w:t xml:space="preserve">8000 km (intercontinental) [dsszgqfdom]</w:t>
      </w:r>
    </w:p>
    <w:p>
      <w:pPr>
        <w:numPr>
          <w:ilvl w:val="0"/>
          <w:numId w:val="1009"/>
        </w:numPr>
        <w:pStyle w:val="Compact"/>
      </w:pPr>
      <w:r>
        <w:rPr>
          <w:bCs/>
          <w:b/>
        </w:rPr>
        <w:t xml:space="preserve">Mode:</w:t>
      </w:r>
      <w:r>
        <w:t xml:space="preserve"> </w:t>
      </w:r>
      <w:r>
        <w:t xml:space="preserve">Ocean Freight [Select Mode]</w:t>
      </w:r>
    </w:p>
    <w:p>
      <w:pPr>
        <w:numPr>
          <w:ilvl w:val="0"/>
          <w:numId w:val="1009"/>
        </w:numPr>
        <w:pStyle w:val="Compact"/>
      </w:pPr>
      <w:r>
        <w:rPr>
          <w:bCs/>
          <w:b/>
        </w:rPr>
        <w:t xml:space="preserve">Ocean Freight Emissions:</w:t>
      </w:r>
      <w:r>
        <w:t xml:space="preserve"> </w:t>
      </w:r>
      <w:r>
        <w:t xml:space="preserve">0.85 kg * (8000 km / 1000) * 0.016 kgCO2e/tkm = 0.1088 kgCO2e/unit</w:t>
      </w:r>
    </w:p>
    <w:p>
      <w:pPr>
        <w:numPr>
          <w:ilvl w:val="0"/>
          <w:numId w:val="1009"/>
        </w:numPr>
        <w:pStyle w:val="Compact"/>
      </w:pPr>
      <w:r>
        <w:rPr>
          <w:bCs/>
          <w:b/>
        </w:rPr>
        <w:t xml:space="preserve">Internal/Regional Transport (e.g., Road to factory):</w:t>
      </w:r>
      <w:r>
        <w:t xml:space="preserve"> </w:t>
      </w:r>
      <w:r>
        <w:t xml:space="preserve">500 km [illustrative]</w:t>
      </w:r>
    </w:p>
    <w:p>
      <w:pPr>
        <w:numPr>
          <w:ilvl w:val="0"/>
          <w:numId w:val="1009"/>
        </w:numPr>
        <w:pStyle w:val="Compact"/>
      </w:pPr>
      <w:r>
        <w:rPr>
          <w:bCs/>
          <w:b/>
        </w:rPr>
        <w:t xml:space="preserve">Mode:</w:t>
      </w:r>
      <w:r>
        <w:t xml:space="preserve"> </w:t>
      </w:r>
      <w:r>
        <w:t xml:space="preserve">Road Freight [Select Mode]</w:t>
      </w:r>
    </w:p>
    <w:p>
      <w:pPr>
        <w:numPr>
          <w:ilvl w:val="0"/>
          <w:numId w:val="1009"/>
        </w:numPr>
        <w:pStyle w:val="Compact"/>
      </w:pPr>
      <w:r>
        <w:rPr>
          <w:bCs/>
          <w:b/>
        </w:rPr>
        <w:t xml:space="preserve">Road Freight Emissions (Upstream):</w:t>
      </w:r>
      <w:r>
        <w:t xml:space="preserve"> </w:t>
      </w:r>
      <w:r>
        <w:t xml:space="preserve">0.85 kg * (500 km / 1000) * 0.10 kgCO2e/tkm = 0.0425 kgCO2e/unit</w:t>
      </w:r>
    </w:p>
    <w:p>
      <w:pPr>
        <w:numPr>
          <w:ilvl w:val="0"/>
          <w:numId w:val="1009"/>
        </w:numPr>
        <w:pStyle w:val="Compact"/>
      </w:pPr>
      <w:r>
        <w:rPr>
          <w:bCs/>
          <w:b/>
        </w:rPr>
        <w:t xml:space="preserve">Total Upstream Transport Emissions:</w:t>
      </w:r>
      <w:r>
        <w:t xml:space="preserve"> </w:t>
      </w:r>
      <w:r>
        <w:t xml:space="preserve">0.1088 + 0.0425 =</w:t>
      </w:r>
      <w:r>
        <w:t xml:space="preserve"> </w:t>
      </w:r>
      <w:r>
        <w:rPr>
          <w:bCs/>
          <w:b/>
        </w:rPr>
        <w:t xml:space="preserve">0.1513 kgCO2e/unit</w:t>
      </w:r>
    </w:p>
    <w:bookmarkEnd w:id="34"/>
    <w:bookmarkStart w:id="35" w:name="X4a4e8e3b229fc696037344f6caf20042bf5cbd8"/>
    <w:p>
      <w:pPr>
        <w:pStyle w:val="Heading4"/>
      </w:pPr>
      <w:r>
        <w:t xml:space="preserve">3.3.3 Downstream Transportation and Distribution (Category 9)</w:t>
      </w:r>
    </w:p>
    <w:p>
      <w:pPr>
        <w:pStyle w:val="FirstParagraph"/>
      </w:pPr>
      <w:r>
        <w:t xml:space="preserve">Emissions from transporting the finished product from the factory in China to the customer in Europe, including last-mile delivery.</w:t>
      </w:r>
    </w:p>
    <w:p>
      <w:pPr>
        <w:numPr>
          <w:ilvl w:val="0"/>
          <w:numId w:val="1010"/>
        </w:numPr>
        <w:pStyle w:val="Compact"/>
      </w:pPr>
      <w:r>
        <w:rPr>
          <w:bCs/>
          <w:b/>
        </w:rPr>
        <w:t xml:space="preserve">Product Weight:</w:t>
      </w:r>
      <w:r>
        <w:t xml:space="preserve"> </w:t>
      </w:r>
      <w:r>
        <w:t xml:space="preserve">0.85 kg/unit</w:t>
      </w:r>
    </w:p>
    <w:p>
      <w:pPr>
        <w:numPr>
          <w:ilvl w:val="0"/>
          <w:numId w:val="1010"/>
        </w:numPr>
        <w:pStyle w:val="Compact"/>
      </w:pPr>
      <w:r>
        <w:rPr>
          <w:bCs/>
          <w:b/>
        </w:rPr>
        <w:t xml:space="preserve">Distribution Transport (e.g., China to Europe distribution center):</w:t>
      </w:r>
      <w:r>
        <w:t xml:space="preserve"> </w:t>
      </w:r>
      <w:r>
        <w:t xml:space="preserve">1000 km [illustrative]</w:t>
      </w:r>
    </w:p>
    <w:p>
      <w:pPr>
        <w:numPr>
          <w:ilvl w:val="0"/>
          <w:numId w:val="1010"/>
        </w:numPr>
        <w:pStyle w:val="Compact"/>
      </w:pPr>
      <w:r>
        <w:rPr>
          <w:bCs/>
          <w:b/>
        </w:rPr>
        <w:t xml:space="preserve">Mode:</w:t>
      </w:r>
      <w:r>
        <w:t xml:space="preserve"> </w:t>
      </w:r>
      <w:r>
        <w:t xml:space="preserve">Road Freight (within Europe) [Select Mode]</w:t>
      </w:r>
    </w:p>
    <w:p>
      <w:pPr>
        <w:numPr>
          <w:ilvl w:val="0"/>
          <w:numId w:val="1010"/>
        </w:numPr>
        <w:pStyle w:val="Compact"/>
      </w:pPr>
      <w:r>
        <w:rPr>
          <w:bCs/>
          <w:b/>
        </w:rPr>
        <w:t xml:space="preserve">Road Freight Emissions (Downstream):</w:t>
      </w:r>
      <w:r>
        <w:t xml:space="preserve"> </w:t>
      </w:r>
      <w:r>
        <w:t xml:space="preserve">0.85 kg * (1000 km / 1000) * 0.10 kgCO2e/tkm = 0.085 kgCO2e/unit</w:t>
      </w:r>
    </w:p>
    <w:p>
      <w:pPr>
        <w:numPr>
          <w:ilvl w:val="0"/>
          <w:numId w:val="1010"/>
        </w:numPr>
        <w:pStyle w:val="Compact"/>
      </w:pPr>
      <w:r>
        <w:rPr>
          <w:bCs/>
          <w:b/>
        </w:rPr>
        <w:t xml:space="preserve">Last-Mile Delivery Distance:</w:t>
      </w:r>
      <w:r>
        <w:t xml:space="preserve"> </w:t>
      </w:r>
      <w:r>
        <w:t xml:space="preserve">50 km [dsszgqfdom]</w:t>
      </w:r>
    </w:p>
    <w:p>
      <w:pPr>
        <w:numPr>
          <w:ilvl w:val="0"/>
          <w:numId w:val="1010"/>
        </w:numPr>
        <w:pStyle w:val="Compact"/>
      </w:pPr>
      <w:r>
        <w:rPr>
          <w:bCs/>
          <w:b/>
        </w:rPr>
        <w:t xml:space="preserve">Channel:</w:t>
      </w:r>
      <w:r>
        <w:t xml:space="preserve"> </w:t>
      </w:r>
      <w:r>
        <w:t xml:space="preserve">Parcel Post [Delivery Type]</w:t>
      </w:r>
    </w:p>
    <w:p>
      <w:pPr>
        <w:numPr>
          <w:ilvl w:val="0"/>
          <w:numId w:val="1010"/>
        </w:numPr>
        <w:pStyle w:val="Compact"/>
      </w:pPr>
      <w:r>
        <w:rPr>
          <w:bCs/>
          <w:b/>
        </w:rPr>
        <w:t xml:space="preserve">Parcel Post Emissions:</w:t>
      </w:r>
      <w:r>
        <w:t xml:space="preserve"> </w:t>
      </w:r>
      <w:r>
        <w:t xml:space="preserve">0.85 kg * 50 km * 0.0003 kgCO2e/kg.km = 0.01275 kgCO2e/unit</w:t>
      </w:r>
    </w:p>
    <w:p>
      <w:pPr>
        <w:numPr>
          <w:ilvl w:val="0"/>
          <w:numId w:val="1010"/>
        </w:numPr>
        <w:pStyle w:val="Compact"/>
      </w:pPr>
      <w:r>
        <w:rPr>
          <w:bCs/>
          <w:b/>
        </w:rPr>
        <w:t xml:space="preserve">Total Downstream Transport Emissions:</w:t>
      </w:r>
      <w:r>
        <w:t xml:space="preserve"> </w:t>
      </w:r>
      <w:r>
        <w:t xml:space="preserve">0.085 + 0.01275 =</w:t>
      </w:r>
      <w:r>
        <w:t xml:space="preserve"> </w:t>
      </w:r>
      <w:r>
        <w:rPr>
          <w:bCs/>
          <w:b/>
        </w:rPr>
        <w:t xml:space="preserve">0.09775 kgCO2e/unit</w:t>
      </w:r>
    </w:p>
    <w:bookmarkEnd w:id="35"/>
    <w:bookmarkStart w:id="36" w:name="use-of-sold-products-category-11"/>
    <w:p>
      <w:pPr>
        <w:pStyle w:val="Heading4"/>
      </w:pPr>
      <w:r>
        <w:t xml:space="preserve">3.3.4 Use of Sold Products (Category 11)</w:t>
      </w:r>
    </w:p>
    <w:p>
      <w:pPr>
        <w:pStyle w:val="FirstParagraph"/>
      </w:pPr>
      <w:r>
        <w:t xml:space="preserve">Emissions from the energy consumed by the product during its lifespan.</w:t>
      </w:r>
    </w:p>
    <w:p>
      <w:pPr>
        <w:numPr>
          <w:ilvl w:val="0"/>
          <w:numId w:val="1011"/>
        </w:numPr>
        <w:pStyle w:val="Compact"/>
      </w:pPr>
      <w:r>
        <w:rPr>
          <w:bCs/>
          <w:b/>
        </w:rPr>
        <w:t xml:space="preserve">Product Lifespan:</w:t>
      </w:r>
      <w:r>
        <w:t xml:space="preserve"> </w:t>
      </w:r>
      <w:r>
        <w:t xml:space="preserve">3 years [ssqkvmxgzw]</w:t>
      </w:r>
    </w:p>
    <w:p>
      <w:pPr>
        <w:numPr>
          <w:ilvl w:val="0"/>
          <w:numId w:val="1011"/>
        </w:numPr>
        <w:pStyle w:val="Compact"/>
      </w:pPr>
      <w:r>
        <w:rPr>
          <w:bCs/>
          <w:b/>
        </w:rPr>
        <w:t xml:space="preserve">Energy Consumption in Use:</w:t>
      </w:r>
      <w:r>
        <w:t xml:space="preserve"> </w:t>
      </w:r>
      <w:r>
        <w:t xml:space="preserve">10 kWh/year [ivnkrrufiw]</w:t>
      </w:r>
    </w:p>
    <w:p>
      <w:pPr>
        <w:numPr>
          <w:ilvl w:val="0"/>
          <w:numId w:val="1011"/>
        </w:numPr>
        <w:pStyle w:val="Compact"/>
      </w:pPr>
      <w:r>
        <w:rPr>
          <w:bCs/>
          <w:b/>
        </w:rPr>
        <w:t xml:space="preserve">Total Energy in Use:</w:t>
      </w:r>
      <w:r>
        <w:t xml:space="preserve"> </w:t>
      </w:r>
      <w:r>
        <w:t xml:space="preserve">10 kWh/year * 3 years = 30 kWh/unit</w:t>
      </w:r>
    </w:p>
    <w:p>
      <w:pPr>
        <w:numPr>
          <w:ilvl w:val="0"/>
          <w:numId w:val="1011"/>
        </w:numPr>
        <w:pStyle w:val="Compact"/>
      </w:pPr>
      <w:r>
        <w:rPr>
          <w:bCs/>
          <w:b/>
        </w:rPr>
        <w:t xml:space="preserve">Use Phase Emissions (Europe Grid Average):</w:t>
      </w:r>
      <w:r>
        <w:t xml:space="preserve"> </w:t>
      </w:r>
      <w:r>
        <w:t xml:space="preserve">30 kWh/unit * 0.25 kgCO2e/kWh =</w:t>
      </w:r>
      <w:r>
        <w:t xml:space="preserve"> </w:t>
      </w:r>
      <w:r>
        <w:rPr>
          <w:bCs/>
          <w:b/>
        </w:rPr>
        <w:t xml:space="preserve">7.50 kgCO2e/unit</w:t>
      </w:r>
    </w:p>
    <w:bookmarkEnd w:id="36"/>
    <w:bookmarkStart w:id="37" w:name="X7eecd0528a4129578e12f0f82acdf78ed4201e7"/>
    <w:p>
      <w:pPr>
        <w:pStyle w:val="Heading4"/>
      </w:pPr>
      <w:r>
        <w:t xml:space="preserve">3.3.5 End-of-Life Treatment of Sold Products (Category 12)</w:t>
      </w:r>
    </w:p>
    <w:p>
      <w:pPr>
        <w:pStyle w:val="FirstParagraph"/>
      </w:pPr>
      <w:r>
        <w:t xml:space="preserve">Emissions and potential credits associated with the disposal and recycling of the product at the end of its life, incorporating circular economy impacts.</w:t>
      </w:r>
    </w:p>
    <w:p>
      <w:pPr>
        <w:numPr>
          <w:ilvl w:val="0"/>
          <w:numId w:val="1012"/>
        </w:numPr>
        <w:pStyle w:val="Compact"/>
      </w:pPr>
      <w:r>
        <w:rPr>
          <w:bCs/>
          <w:b/>
        </w:rPr>
        <w:t xml:space="preserve">Product Weight:</w:t>
      </w:r>
      <w:r>
        <w:t xml:space="preserve"> </w:t>
      </w:r>
      <w:r>
        <w:t xml:space="preserve">0.85 kg/unit</w:t>
      </w:r>
    </w:p>
    <w:p>
      <w:pPr>
        <w:numPr>
          <w:ilvl w:val="0"/>
          <w:numId w:val="1012"/>
        </w:numPr>
        <w:pStyle w:val="Compact"/>
      </w:pPr>
      <w:r>
        <w:rPr>
          <w:bCs/>
          <w:b/>
        </w:rPr>
        <w:t xml:space="preserve">Circular/Take-back Programs:</w:t>
      </w:r>
      <w:r>
        <w:t xml:space="preserve"> </w:t>
      </w:r>
      <w:r>
        <w:t xml:space="preserve">20% of units are subject to take-back for refurbishment [pqjuynsxhk]. For PCF, this 20% is assumed to have zero EoL burden or an avoided production credit (not explicitly calculated here but acknowledged).</w:t>
      </w:r>
    </w:p>
    <w:p>
      <w:pPr>
        <w:numPr>
          <w:ilvl w:val="0"/>
          <w:numId w:val="1012"/>
        </w:numPr>
        <w:pStyle w:val="Compact"/>
      </w:pPr>
      <w:r>
        <w:rPr>
          <w:bCs/>
          <w:b/>
        </w:rPr>
        <w:t xml:space="preserve">Remaining product for EoL:</w:t>
      </w:r>
      <w:r>
        <w:t xml:space="preserve"> </w:t>
      </w:r>
      <w:r>
        <w:t xml:space="preserve">80% * 0.85 kg = 0.68 kg/unit</w:t>
      </w:r>
    </w:p>
    <w:p>
      <w:pPr>
        <w:numPr>
          <w:ilvl w:val="0"/>
          <w:numId w:val="1012"/>
        </w:numPr>
        <w:pStyle w:val="Compact"/>
      </w:pPr>
      <w:r>
        <w:rPr>
          <w:bCs/>
          <w:b/>
        </w:rPr>
        <w:t xml:space="preserve">Recyclability Percentage:</w:t>
      </w:r>
      <w:r>
        <w:t xml:space="preserve"> </w:t>
      </w:r>
      <w:r>
        <w:t xml:space="preserve">70% of the remaining product [zijyhujrjv] is recycled.</w:t>
      </w:r>
    </w:p>
    <w:p>
      <w:pPr>
        <w:numPr>
          <w:ilvl w:val="0"/>
          <w:numId w:val="1012"/>
        </w:numPr>
        <w:pStyle w:val="Compact"/>
      </w:pPr>
      <w:r>
        <w:rPr>
          <w:bCs/>
          <w:b/>
        </w:rPr>
        <w:t xml:space="preserve">Recycled Portion:</w:t>
      </w:r>
      <w:r>
        <w:t xml:space="preserve"> </w:t>
      </w:r>
      <w:r>
        <w:t xml:space="preserve">0.68 kg * 0.70 = 0.476 kg/unit</w:t>
      </w:r>
    </w:p>
    <w:p>
      <w:pPr>
        <w:numPr>
          <w:ilvl w:val="0"/>
          <w:numId w:val="1012"/>
        </w:numPr>
        <w:pStyle w:val="Compact"/>
      </w:pPr>
      <w:r>
        <w:rPr>
          <w:bCs/>
          <w:b/>
        </w:rPr>
        <w:t xml:space="preserve">Disposed Portion (landfill/incineration):</w:t>
      </w:r>
      <w:r>
        <w:t xml:space="preserve"> </w:t>
      </w:r>
      <w:r>
        <w:t xml:space="preserve">0.68 kg * 0.30 = 0.204 kg/unit</w:t>
      </w:r>
    </w:p>
    <w:p>
      <w:pPr>
        <w:numPr>
          <w:ilvl w:val="0"/>
          <w:numId w:val="1012"/>
        </w:numPr>
        <w:pStyle w:val="Compact"/>
      </w:pPr>
      <w:r>
        <w:rPr>
          <w:bCs/>
          <w:b/>
        </w:rPr>
        <w:t xml:space="preserve">Disposal Emissions:</w:t>
      </w:r>
      <w:r>
        <w:t xml:space="preserve"> </w:t>
      </w:r>
      <w:r>
        <w:t xml:space="preserve">0.204 kg/unit * 1.0 kgCO2e/kg = 0.204 kgCO2e/unit</w:t>
      </w:r>
    </w:p>
    <w:p>
      <w:pPr>
        <w:numPr>
          <w:ilvl w:val="0"/>
          <w:numId w:val="1012"/>
        </w:numPr>
        <w:pStyle w:val="Compact"/>
      </w:pPr>
      <w:r>
        <w:rPr>
          <w:bCs/>
          <w:b/>
        </w:rPr>
        <w:t xml:space="preserve">Recycling Credits (Avoided Virgin Material):</w:t>
      </w:r>
      <w:r>
        <w:t xml:space="preserve"> </w:t>
      </w:r>
      <w:r>
        <w:t xml:space="preserve">0.476 kg/unit * -0.5 kgCO2e/kg = -0.238 kgCO2e/unit</w:t>
      </w:r>
    </w:p>
    <w:p>
      <w:pPr>
        <w:numPr>
          <w:ilvl w:val="0"/>
          <w:numId w:val="1012"/>
        </w:numPr>
        <w:pStyle w:val="Compact"/>
      </w:pPr>
      <w:r>
        <w:rPr>
          <w:bCs/>
          <w:b/>
        </w:rPr>
        <w:t xml:space="preserve">Total End-of-Life Emissions:</w:t>
      </w:r>
      <w:r>
        <w:t xml:space="preserve"> </w:t>
      </w:r>
      <w:r>
        <w:t xml:space="preserve">0.204 - 0.238 =</w:t>
      </w:r>
      <w:r>
        <w:t xml:space="preserve"> </w:t>
      </w:r>
      <w:r>
        <w:rPr>
          <w:bCs/>
          <w:b/>
        </w:rPr>
        <w:t xml:space="preserve">-0.034 kgCO2e/unit</w:t>
      </w:r>
      <w:r>
        <w:t xml:space="preserve"> </w:t>
      </w:r>
      <w:r>
        <w:t xml:space="preserve">(Net benefit due to high recyclability and credits)</w:t>
      </w:r>
    </w:p>
    <w:bookmarkEnd w:id="37"/>
    <w:bookmarkEnd w:id="38"/>
    <w:bookmarkStart w:id="39" w:name="total-product-carbon-footprint"/>
    <w:p>
      <w:pPr>
        <w:pStyle w:val="Heading3"/>
      </w:pPr>
      <w:r>
        <w:t xml:space="preserve">3.4 Total Product Carbon Footprint</w:t>
      </w:r>
    </w:p>
    <w:p>
      <w:pPr>
        <w:pStyle w:val="FirstParagraph"/>
      </w:pPr>
      <w:r>
        <w:t xml:space="preserve">The sum of emissions across all relevant lifecycle stages for svkdzwfpth.</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(allocated to product)</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0.325</w:t>
            </w:r>
          </w:p>
        </w:tc>
      </w:tr>
      <w:tr>
        <w:tc>
          <w:tcPr/>
          <w:p>
            <w:pPr>
              <w:pStyle w:val="Compact"/>
              <w:jc w:val="left"/>
            </w:pPr>
            <w:r>
              <w:t xml:space="preserve">Scope 3, Category 1</w:t>
            </w:r>
          </w:p>
        </w:tc>
        <w:tc>
          <w:tcPr/>
          <w:p>
            <w:pPr>
              <w:pStyle w:val="Compact"/>
              <w:jc w:val="left"/>
            </w:pPr>
            <w:r>
              <w:t xml:space="preserve">Purchased Goods and Services (Materials)</w:t>
            </w:r>
          </w:p>
        </w:tc>
        <w:tc>
          <w:tcPr/>
          <w:p>
            <w:pPr>
              <w:pStyle w:val="Compact"/>
              <w:jc w:val="left"/>
            </w:pPr>
            <w:r>
              <w:t xml:space="preserve">4.870</w:t>
            </w:r>
          </w:p>
        </w:tc>
      </w:tr>
      <w:tr>
        <w:tc>
          <w:tcPr/>
          <w:p>
            <w:pPr>
              <w:pStyle w:val="Compact"/>
              <w:jc w:val="left"/>
            </w:pPr>
            <w:r>
              <w:t xml:space="preserve">Scope 3, Category 4</w:t>
            </w:r>
          </w:p>
        </w:tc>
        <w:tc>
          <w:tcPr/>
          <w:p>
            <w:pPr>
              <w:pStyle w:val="Compact"/>
              <w:jc w:val="left"/>
            </w:pPr>
            <w:r>
              <w:t xml:space="preserve">Upstream Transportation and Distribution</w:t>
            </w:r>
          </w:p>
        </w:tc>
        <w:tc>
          <w:tcPr/>
          <w:p>
            <w:pPr>
              <w:pStyle w:val="Compact"/>
              <w:jc w:val="left"/>
            </w:pPr>
            <w:r>
              <w:t xml:space="preserve">0.151</w:t>
            </w:r>
          </w:p>
        </w:tc>
      </w:tr>
      <w:tr>
        <w:tc>
          <w:tcPr/>
          <w:p>
            <w:pPr>
              <w:pStyle w:val="Compact"/>
              <w:jc w:val="left"/>
            </w:pPr>
            <w:r>
              <w:t xml:space="preserve">Scope 3, Category 9</w:t>
            </w:r>
          </w:p>
        </w:tc>
        <w:tc>
          <w:tcPr/>
          <w:p>
            <w:pPr>
              <w:pStyle w:val="Compact"/>
              <w:jc w:val="left"/>
            </w:pPr>
            <w:r>
              <w:t xml:space="preserve">Downstream Transportation and Distribution</w:t>
            </w:r>
          </w:p>
        </w:tc>
        <w:tc>
          <w:tcPr/>
          <w:p>
            <w:pPr>
              <w:pStyle w:val="Compact"/>
              <w:jc w:val="left"/>
            </w:pPr>
            <w:r>
              <w:t xml:space="preserve">0.098</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7.500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-0.034</w:t>
            </w:r>
          </w:p>
        </w:tc>
      </w:tr>
      <w:tr>
        <w:tc>
          <w:tcPr>
            <w:gridSpan w:val="2"/>
          </w:tcPr>
          <w:p>
            <w:pPr>
              <w:pStyle w:val="Compact"/>
              <w:jc w:val="left"/>
            </w:pPr>
            <w:r>
              <w:t xml:space="preserve">TOTAL PRODUCT CARBON FOOTPRINT (PCF)</w:t>
            </w:r>
          </w:p>
        </w:tc>
        <w:tc>
          <w:tcPr/>
          <w:p>
            <w:pPr>
              <w:pStyle w:val="Compact"/>
              <w:jc w:val="left"/>
            </w:pPr>
            <w:r>
              <w:t xml:space="preserve">12.910</w:t>
            </w:r>
          </w:p>
        </w:tc>
      </w:tr>
    </w:tbl>
    <w:p>
      <w:pPr>
        <w:pStyle w:val="BodyText"/>
      </w:pPr>
      <w:r>
        <w:t xml:space="preserve">The total Product Carbon Footprint for one unit of svkdzwfpth is</w:t>
      </w:r>
      <w:r>
        <w:t xml:space="preserve"> </w:t>
      </w:r>
      <w:r>
        <w:rPr>
          <w:bCs/>
          <w:b/>
        </w:rPr>
        <w:t xml:space="preserve">12.910 kgCO2e</w:t>
      </w:r>
      <w:r>
        <w:t xml:space="preserve">.</w:t>
      </w:r>
    </w:p>
    <w:p>
      <w:r>
        <w:pict>
          <v:rect style="width:0;height:1.5pt" o:hralign="center" o:hrstd="t" o:hr="t"/>
        </w:pict>
      </w:r>
    </w:p>
    <w:bookmarkEnd w:id="39"/>
    <w:bookmarkEnd w:id="40"/>
    <w:bookmarkStart w:id="44" w:name="ghg-protocol-compliance-2026-updates"/>
    <w:p>
      <w:pPr>
        <w:pStyle w:val="Heading2"/>
      </w:pPr>
      <w:r>
        <w:t xml:space="preserve">4. GHG Protocol Compliance &amp; 2026 Updates</w:t>
      </w:r>
    </w:p>
    <w:p>
      <w:pPr>
        <w:pStyle w:val="FirstParagraph"/>
      </w:pPr>
      <w:r>
        <w:t xml:space="preserve">This PCF analysis is conducted in full compliance with the GHG Protocol standards, incorporating the latest developments and requirements.</w:t>
      </w:r>
    </w:p>
    <w:bookmarkStart w:id="41" w:name="ghg-protocol-adherence"/>
    <w:p>
      <w:pPr>
        <w:pStyle w:val="Heading3"/>
      </w:pPr>
      <w:r>
        <w:t xml:space="preserve">4.1 GHG Protocol Adherence</w:t>
      </w:r>
    </w:p>
    <w:p>
      <w:pPr>
        <w:pStyle w:val="FirstParagraph"/>
      </w:pPr>
      <w:r>
        <w:t xml:space="preserve">The report strictly follows the GHG Protocol Product Standard for calculating product lifecycle GHG emissions. All emissions are categorized into Scope 1 (direct, if applicable at product level), Scope 2 (purchased energy for production), and Scope 3 (all other indirect emissions across the value chain).</w:t>
      </w:r>
    </w:p>
    <w:bookmarkEnd w:id="41"/>
    <w:bookmarkStart w:id="42" w:name="X504f4a86e01fdcfa46a4589bb1b5e0cfaad8629"/>
    <w:p>
      <w:pPr>
        <w:pStyle w:val="Heading3"/>
      </w:pPr>
      <w:r>
        <w:t xml:space="preserve">4.2 2026 Land Sector and Removals (LSR) Standard Update</w:t>
      </w:r>
    </w:p>
    <w:p>
      <w:pPr>
        <w:pStyle w:val="FirstParagraph"/>
      </w:pPr>
      <w:r>
        <w:t xml:space="preserve">The GHG Protocol\'s Land Sector and Removals (LSR) Standard, released on January 30, 2026, and effective January 1, 2027, provides crucial guidance for accounting for land emissions and CO2 removals. This standard addresses land use change, land management, biogenic products, and technological CO2 removals. For svkdzwfpth, direct land-use change or land management activities for raw material sourcing were not explicitly provided in the BOM or other parameters. Therefore, the LSR Standard\'s requirements related to direct land occupation and carbon leakage quantification for "high-risk activities" are noted for future, more granular data collection. Should any raw materials for svkdzwfpth originate from agricultural or forestry sectors with significant land-use impacts, further assessment applying the LSR Standard would be critical to fully capture these emissions and any associated removals. The accompanying Land Sector and Removals Guidance, expected in Q2 2026, will provide more practical direction for implementation.</w:t>
      </w:r>
    </w:p>
    <w:bookmarkEnd w:id="42"/>
    <w:bookmarkStart w:id="43" w:name="X1cf39dbf72492d1f3c160bf26c8e95ee866c94f"/>
    <w:p>
      <w:pPr>
        <w:pStyle w:val="Heading3"/>
      </w:pPr>
      <w:r>
        <w:t xml:space="preserve">4.3 Scope 3 95% Coverage Compliance (2026 Requirements)</w:t>
      </w:r>
    </w:p>
    <w:p>
      <w:pPr>
        <w:pStyle w:val="FirstParagraph"/>
      </w:pPr>
      <w:r>
        <w:t xml:space="preserve">As per the 2026 proposed revisions to the GHG Protocol Scope 3 Standard, companies will be required to report at least 95% of their total required Scope 3 emissions to remain in compliance. This analysis for svkdzwfpth has meticulously gathered and calculated emissions across the most material Scope 3 categories: purchased goods and services (materials), upstream and downstream transportation, use of sold products, and end-of-life treatment. By detailing all significant value chain contributions based on the provided parameters, this report aims to achieve a high degree of completeness, demonstrating compliance with the anticipated 95% coverage threshold for required Scope 3 emissions. The disaggregation of emissions by data type (primary vs. secondary) as proposed in the March 2026 Phase 1 Progress Update is also a key consideration for future reporting integrity and transparency.</w:t>
      </w:r>
    </w:p>
    <w:p>
      <w:r>
        <w:pict>
          <v:rect style="width:0;height:1.5pt" o:hralign="center" o:hrstd="t" o:hr="t"/>
        </w:pict>
      </w:r>
    </w:p>
    <w:bookmarkEnd w:id="43"/>
    <w:bookmarkEnd w:id="44"/>
    <w:bookmarkStart w:id="47" w:name="review-reporting"/>
    <w:p>
      <w:pPr>
        <w:pStyle w:val="Heading2"/>
      </w:pPr>
      <w:r>
        <w:t xml:space="preserve">5. Review &amp; Reporting</w:t>
      </w:r>
    </w:p>
    <w:bookmarkStart w:id="45" w:name="hotspots-identification"/>
    <w:p>
      <w:pPr>
        <w:pStyle w:val="Heading3"/>
      </w:pPr>
      <w:r>
        <w:t xml:space="preserve">5.1 Hotspots Identification</w:t>
      </w:r>
    </w:p>
    <w:p>
      <w:pPr>
        <w:pStyle w:val="FirstParagraph"/>
      </w:pPr>
      <w:r>
        <w:t xml:space="preserve">Based on the calculations, the primary emission hotspots for svkdzwfpth are:</w:t>
      </w:r>
    </w:p>
    <w:p>
      <w:pPr>
        <w:numPr>
          <w:ilvl w:val="0"/>
          <w:numId w:val="1013"/>
        </w:numPr>
        <w:pStyle w:val="Compact"/>
      </w:pPr>
      <w:r>
        <w:rPr>
          <w:bCs/>
          <w:b/>
        </w:rPr>
        <w:t xml:space="preserve">Use Phase (Category 11):</w:t>
      </w:r>
      <w:r>
        <w:t xml:space="preserve"> </w:t>
      </w:r>
      <w:r>
        <w:t xml:space="preserve">At 7.50 kgCO2e/unit, the energy consumption during the product\'s lifespan is the largest contributor, highlighting the importance of energy efficiency for end-users.</w:t>
      </w:r>
    </w:p>
    <w:p>
      <w:pPr>
        <w:numPr>
          <w:ilvl w:val="0"/>
          <w:numId w:val="1013"/>
        </w:numPr>
        <w:pStyle w:val="Compact"/>
      </w:pPr>
      <w:r>
        <w:rPr>
          <w:bCs/>
          <w:b/>
        </w:rPr>
        <w:t xml:space="preserve">Material Acquisition (Category 1):</w:t>
      </w:r>
      <w:r>
        <w:t xml:space="preserve"> </w:t>
      </w:r>
      <w:r>
        <w:t xml:space="preserve">The embedded emissions in purchased materials, totaling 4.87 kgCO2e/unit, represent the second most significant hotspot. This emphasizes the need for sustainable material sourcing, design for lower impact materials, and engaging with suppliers on their decarbonization efforts.</w:t>
      </w:r>
    </w:p>
    <w:p>
      <w:pPr>
        <w:numPr>
          <w:ilvl w:val="0"/>
          <w:numId w:val="1013"/>
        </w:numPr>
        <w:pStyle w:val="Compact"/>
      </w:pPr>
      <w:r>
        <w:rPr>
          <w:bCs/>
          <w:b/>
        </w:rPr>
        <w:t xml:space="preserve">Production Energy (Scope 2):</w:t>
      </w:r>
      <w:r>
        <w:t xml:space="preserve"> </w:t>
      </w:r>
      <w:r>
        <w:t xml:space="preserve">While lower than use phase and materials, the 0.325 kgCO2e/unit indicates that further increasing renewable energy usage in the manufacturing facility, or improving energy efficiency, can yield reductions.</w:t>
      </w:r>
    </w:p>
    <w:p>
      <w:pPr>
        <w:numPr>
          <w:ilvl w:val="0"/>
          <w:numId w:val="1013"/>
        </w:numPr>
        <w:pStyle w:val="Compact"/>
      </w:pPr>
      <w:r>
        <w:rPr>
          <w:bCs/>
          <w:b/>
        </w:rPr>
        <w:t xml:space="preserve">End-of-Life (Category 12):</w:t>
      </w:r>
      <w:r>
        <w:t xml:space="preserve"> </w:t>
      </w:r>
      <w:r>
        <w:t xml:space="preserve">The net negative emissions (-0.034 kgCO2e/unit) indicate that the high recyclability and circular economy programs for svkdzwfpth are effectively mitigating (or even avoiding) EoL impacts, which is a positive aspect of the product\'s design.</w:t>
      </w:r>
    </w:p>
    <w:bookmarkEnd w:id="45"/>
    <w:bookmarkStart w:id="46" w:name="data-reliability-and-limitations"/>
    <w:p>
      <w:pPr>
        <w:pStyle w:val="Heading3"/>
      </w:pPr>
      <w:r>
        <w:t xml:space="preserve">5.2 Data Reliability and Limitations</w:t>
      </w:r>
    </w:p>
    <w:p>
      <w:pPr>
        <w:pStyle w:val="FirstParagraph"/>
      </w:pPr>
      <w:r>
        <w:t xml:space="preserve">The analysis relies on a combination of provided primary data (BOM, energy usage, transport distances, EoL scenarios) and industry-average secondary emission factors (e.g., from Ecoinvent/DEFRA for transport, energy grids). While the use of detailed BOM data enhances accuracy for material impacts, the reliance on generic emission factors for certain processes (e.g., average grid mixes, transport modes, and EoL scenarios) introduces a level of uncertainty. To further improve reliability, future assessments should prioritize:</w:t>
      </w:r>
    </w:p>
    <w:p>
      <w:pPr>
        <w:numPr>
          <w:ilvl w:val="0"/>
          <w:numId w:val="1014"/>
        </w:numPr>
        <w:pStyle w:val="Compact"/>
      </w:pPr>
      <w:r>
        <w:t xml:space="preserve">Collecting supplier-specific emission factors for materials (primary data).</w:t>
      </w:r>
    </w:p>
    <w:p>
      <w:pPr>
        <w:numPr>
          <w:ilvl w:val="0"/>
          <w:numId w:val="1014"/>
        </w:numPr>
        <w:pStyle w:val="Compact"/>
      </w:pPr>
      <w:r>
        <w:t xml:space="preserve">Obtaining actual fuel consumption data for transport routes instead of distance-based averages.</w:t>
      </w:r>
    </w:p>
    <w:p>
      <w:pPr>
        <w:numPr>
          <w:ilvl w:val="0"/>
          <w:numId w:val="1014"/>
        </w:numPr>
        <w:pStyle w:val="Compact"/>
      </w:pPr>
      <w:r>
        <w:t xml:space="preserve">Detailed regional electricity mix data for the use phase, if the geographic location of product use can be more precisely defined.</w:t>
      </w:r>
    </w:p>
    <w:p>
      <w:pPr>
        <w:numPr>
          <w:ilvl w:val="0"/>
          <w:numId w:val="1014"/>
        </w:numPr>
        <w:pStyle w:val="Compact"/>
      </w:pPr>
      <w:r>
        <w:t xml:space="preserve">Specific data on the energy consumption and emissions of the take-back and refurbishment programs.</w:t>
      </w:r>
    </w:p>
    <w:p>
      <w:r>
        <w:pict>
          <v:rect style="width:0;height:1.5pt" o:hralign="center" o:hrstd="t" o:hr="t"/>
        </w:pict>
      </w:r>
    </w:p>
    <w:p>
      <w:pPr>
        <w:pStyle w:val="FirstParagraph"/>
      </w:pPr>
      <w:r>
        <w:t xml:space="preserve">Confidential - Internal Use Only | Page</w:t>
      </w:r>
      <w:r>
        <w:t xml:space="preserve"> </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svkdzwfpth</dc:title>
  <dc:creator/>
  <dc:description>A high-detail Product Carbon Footprint (PCF) analysis for svkdzwfpth, prepared by Senior Sustainability Consultant ijomxkljyn for ryvphupqhv, adhering to GHG Protocol standards and 2026 updates.</dc:description>
  <dc:language>en</dc:language>
  <cp:keywords/>
  <dcterms:created xsi:type="dcterms:W3CDTF">2026-07-15T02:54:50Z</dcterms:created>
  <dcterms:modified xsi:type="dcterms:W3CDTF">2026-07-15T02:54:50Z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