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svhmtrlkol</w:t>
      </w:r>
      <w:r>
        <w:t xml:space="preserve"> </w:t>
      </w:r>
      <w:r>
        <w:t xml:space="preserve">-</w:t>
      </w:r>
      <w:r>
        <w:t xml:space="preserve"> </w:t>
      </w:r>
      <w:r>
        <w:t xml:space="preserve">wgpiyffhmf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svhmtrlkol</w:t>
      </w:r>
    </w:p>
    <w:p>
      <w:pPr>
        <w:pStyle w:val="BodyText"/>
      </w:pPr>
      <w:r>
        <w:t xml:space="preserve">Company:</w:t>
      </w:r>
      <w:r>
        <w:t xml:space="preserve"> </w:t>
      </w:r>
      <w:r>
        <w:rPr>
          <w:bCs/>
          <w:b/>
        </w:rPr>
        <w:t xml:space="preserve">wgpiyffhmf</w:t>
      </w:r>
    </w:p>
    <w:p>
      <w:pPr>
        <w:pStyle w:val="BodyText"/>
      </w:pPr>
      <w:r>
        <w:t xml:space="preserve">Senior Sustainability Consultant:</w:t>
      </w:r>
      <w:r>
        <w:t xml:space="preserve"> </w:t>
      </w:r>
      <w:r>
        <w:rPr>
          <w:bCs/>
          <w:b/>
        </w:rPr>
        <w:t xml:space="preserve">soiynpqekf</w:t>
      </w:r>
    </w:p>
    <w:p>
      <w:pPr>
        <w:pStyle w:val="BodyText"/>
      </w:pPr>
      <w:r>
        <w:t xml:space="preserve">Accounting Standard:</w:t>
      </w:r>
      <w:r>
        <w:t xml:space="preserve"> </w:t>
      </w:r>
      <w:r>
        <w:rPr>
          <w:bCs/>
          <w:b/>
        </w:rPr>
        <w:t xml:space="preserve">GHG Protocol</w:t>
      </w:r>
    </w:p>
    <w:p>
      <w:pPr>
        <w:pStyle w:val="BodyText"/>
      </w:pPr>
      <w:r>
        <w:t xml:space="preserve">Generated Date: May 20, 2026</w:t>
      </w:r>
    </w:p>
    <w:p>
      <w:pPr>
        <w:pStyle w:val="BodyText"/>
      </w:pPr>
      <w:r>
        <w:t xml:space="preserve">This report is generated based on available data and industry standards. While every effort has been made to ensure accuracy, the actual environmental impact may vary.</w:t>
      </w:r>
    </w:p>
    <w:bookmarkEnd w:id="20"/>
    <w:bookmarkStart w:id="47"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svhmtrlkol</w:t>
      </w:r>
      <w:r>
        <w:t xml:space="preserve">, manufactured by</w:t>
      </w:r>
      <w:r>
        <w:t xml:space="preserve"> </w:t>
      </w:r>
      <w:r>
        <w:rPr>
          <w:bCs/>
          <w:b/>
        </w:rPr>
        <w:t xml:space="preserve">wgpiyffhmf</w:t>
      </w:r>
      <w:r>
        <w:t xml:space="preserve">. The analysis was conducted by Senior Sustainability Consultant</w:t>
      </w:r>
      <w:r>
        <w:t xml:space="preserve"> </w:t>
      </w:r>
      <w:r>
        <w:rPr>
          <w:bCs/>
          <w:b/>
        </w:rPr>
        <w:t xml:space="preserve">soiynpqekf</w:t>
      </w:r>
      <w:r>
        <w:t xml:space="preserve">, strictly adhering to the Greenhouse Gas (GHG) Protocol standards, including the latest 2026 updates for the Land Sector and Removals (LSR) Standard and Scope 3 reporting requirements. The objective is to quantify the total greenhouse gas emissions associated with the product\'s lifecycle, identify emission hotspots, and provide recommendations for reduction. This assessment covers emissions from material acquisition, manufacturing, transportation, the use phase, and end-of-life treatment, providing a comprehensive "cradle-to-gate-to-grave" perspective within the defined system boundaries.</w:t>
      </w:r>
    </w:p>
    <w:p>
      <w:r>
        <w:pict>
          <v:rect style="width:0;height:1.5pt" o:hralign="center" o:hrstd="t" o:hr="t"/>
        </w:pict>
      </w:r>
    </w:p>
    <w:bookmarkStart w:id="25" w:name="methodology-and-standards"/>
    <w:p>
      <w:pPr>
        <w:pStyle w:val="Heading2"/>
      </w:pPr>
      <w:r>
        <w:t xml:space="preserve">1. Methodology and Standards</w:t>
      </w:r>
    </w:p>
    <w:p>
      <w:pPr>
        <w:pStyle w:val="FirstParagraph"/>
      </w:pPr>
      <w:r>
        <w:t xml:space="preserve">The Product Carbon Footprint (PCF) analysis for</w:t>
      </w:r>
      <w:r>
        <w:t xml:space="preserve"> </w:t>
      </w:r>
      <w:r>
        <w:rPr>
          <w:bCs/>
          <w:b/>
        </w:rPr>
        <w:t xml:space="preserve">svhmtrlkol</w:t>
      </w:r>
      <w:r>
        <w:t xml:space="preserve"> </w:t>
      </w:r>
      <w:r>
        <w:t xml:space="preserve">follows a robust methodology aligned with international best practices and the specific requirements of the GHG Protocol.</w:t>
      </w:r>
    </w:p>
    <w:bookmarkStart w:id="21" w:name="accounting-standard-ghg-protocol"/>
    <w:p>
      <w:pPr>
        <w:pStyle w:val="Heading3"/>
      </w:pPr>
      <w:r>
        <w:t xml:space="preserve">1.1. Accounting Standard: GHG Protocol</w:t>
      </w:r>
    </w:p>
    <w:p>
      <w:pPr>
        <w:pStyle w:val="FirstParagraph"/>
      </w:pPr>
      <w:r>
        <w:t xml:space="preserve">This report explicitly adheres to the GHG Protocol\'s Corporate Standard and Corporate Value Chain (Scope 3) Accounting and Reporting Standard. Emissions are categorized into three scopes:</w:t>
      </w:r>
    </w:p>
    <w:p>
      <w:pPr>
        <w:numPr>
          <w:ilvl w:val="0"/>
          <w:numId w:val="1001"/>
        </w:numPr>
        <w:pStyle w:val="Compact"/>
      </w:pPr>
      <w:r>
        <w:rPr>
          <w:bCs/>
          <w:b/>
        </w:rPr>
        <w:t xml:space="preserve">Scope 1 (Direct Emissions):</w:t>
      </w:r>
      <w:r>
        <w:t xml:space="preserve"> </w:t>
      </w:r>
      <w:r>
        <w:t xml:space="preserve">Greenhouse gas emissions from sources owned or controlled by</w:t>
      </w:r>
      <w:r>
        <w:t xml:space="preserve"> </w:t>
      </w:r>
      <w:r>
        <w:rPr>
          <w:bCs/>
          <w:b/>
        </w:rPr>
        <w:t xml:space="preserve">wgpiyffhmf</w:t>
      </w:r>
      <w:r>
        <w:t xml:space="preserve">.</w:t>
      </w:r>
    </w:p>
    <w:p>
      <w:pPr>
        <w:numPr>
          <w:ilvl w:val="0"/>
          <w:numId w:val="1001"/>
        </w:numPr>
        <w:pStyle w:val="Compact"/>
      </w:pPr>
      <w:r>
        <w:rPr>
          <w:bCs/>
          <w:b/>
        </w:rPr>
        <w:t xml:space="preserve">Scope 2 (Energy Indirect Emissions):</w:t>
      </w:r>
      <w:r>
        <w:t xml:space="preserve"> </w:t>
      </w:r>
      <w:r>
        <w:t xml:space="preserve">GHG emissions from the generation of purchased electricity, steam, heating, and cooling consumed by</w:t>
      </w:r>
      <w:r>
        <w:t xml:space="preserve"> </w:t>
      </w:r>
      <w:r>
        <w:rPr>
          <w:bCs/>
          <w:b/>
        </w:rPr>
        <w:t xml:space="preserve">wgpiyffhmf</w:t>
      </w:r>
      <w:r>
        <w:t xml:space="preserve">.</w:t>
      </w:r>
    </w:p>
    <w:p>
      <w:pPr>
        <w:numPr>
          <w:ilvl w:val="0"/>
          <w:numId w:val="1001"/>
        </w:numPr>
        <w:pStyle w:val="Compact"/>
      </w:pPr>
      <w:r>
        <w:rPr>
          <w:bCs/>
          <w:b/>
        </w:rPr>
        <w:t xml:space="preserve">Scope 3 (Other Indirect Emissions):</w:t>
      </w:r>
      <w:r>
        <w:t xml:space="preserve"> </w:t>
      </w:r>
      <w:r>
        <w:t xml:space="preserve">All other indirect GHG emissions that occur in the value chain of</w:t>
      </w:r>
      <w:r>
        <w:t xml:space="preserve"> </w:t>
      </w:r>
      <w:r>
        <w:rPr>
          <w:bCs/>
          <w:b/>
        </w:rPr>
        <w:t xml:space="preserve">wgpiyffhmf</w:t>
      </w:r>
      <w:r>
        <w:t xml:space="preserve">, both upstream and downstream. This includes emissions from purchased goods and services, capital goods, transportation, product use, and end-of-life treatment.</w:t>
      </w:r>
    </w:p>
    <w:bookmarkEnd w:id="21"/>
    <w:bookmarkStart w:id="22" w:name="X504f4a86e01fdcfa46a4589bb1b5e0cfaad8629"/>
    <w:p>
      <w:pPr>
        <w:pStyle w:val="Heading3"/>
      </w:pPr>
      <w:r>
        <w:t xml:space="preserve">1.2. 2026 Land Sector and Removals (LSR) Standard Update</w:t>
      </w:r>
    </w:p>
    <w:p>
      <w:pPr>
        <w:pStyle w:val="FirstParagraph"/>
      </w:pPr>
      <w:r>
        <w:t xml:space="preserve">In anticipation of evolving reporting requirements, this analysis incorporates principles from the GHG Protocol\'s Land Sector and Removals (LSR) Standard, published on January 30, 2026, and effective from January 1, 2027. This standard provides accounting requirements and guidance for quantifying, reporting, and tracking land emissions, CO₂ removals, and other key metrics, particularly for companies with significant land sector activities or those reporting CO₂ removals or capture. Version 1.0 covers agriculture and CO₂ removal technologies. While the full guidance document is expected in Q2 2026,</w:t>
      </w:r>
      <w:r>
        <w:t xml:space="preserve"> </w:t>
      </w:r>
      <w:r>
        <w:rPr>
          <w:bCs/>
          <w:b/>
        </w:rPr>
        <w:t xml:space="preserve">wgpiyffhmf</w:t>
      </w:r>
      <w:r>
        <w:t xml:space="preserve"> </w:t>
      </w:r>
      <w:r>
        <w:t xml:space="preserve">is proactively applying its core tenets to enhance transparency and accuracy in land-related and removal impacts, even if such activities are not explicitly detailed for this product\'s lifecycle.</w:t>
      </w:r>
    </w:p>
    <w:bookmarkEnd w:id="22"/>
    <w:bookmarkStart w:id="23" w:name="scope-3-compliance-95-coverage"/>
    <w:p>
      <w:pPr>
        <w:pStyle w:val="Heading3"/>
      </w:pPr>
      <w:r>
        <w:t xml:space="preserve">1.3. Scope 3 Compliance (95% Coverage)</w:t>
      </w:r>
    </w:p>
    <w:p>
      <w:pPr>
        <w:pStyle w:val="FirstParagraph"/>
      </w:pPr>
      <w:r>
        <w:t xml:space="preserve">As per the 2026 requirements, this report ensures at least 95% coverage for Scope 3 reporting. The GHG Protocol\'s proposed revisions to its Scope 3 Standard, outlined in March 2026, introduce a prescriptive completeness requirement, mandating companies to account for at least 95% of total required Scope 3 emissions. This ensures the inclusion of all major Scope 3 emission sources by magnitude, improving completeness, consistency, and comparability of inventories.</w:t>
      </w:r>
    </w:p>
    <w:bookmarkEnd w:id="23"/>
    <w:bookmarkStart w:id="24" w:name="pcf-analysis-methodology-steps"/>
    <w:p>
      <w:pPr>
        <w:pStyle w:val="Heading3"/>
      </w:pPr>
      <w:r>
        <w:t xml:space="preserve">1.4. PCF Analysis Methodology Steps</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svhmtrlkol</w:t>
      </w:r>
    </w:p>
    <w:p>
      <w:pPr>
        <w:numPr>
          <w:ilvl w:val="1"/>
          <w:numId w:val="1003"/>
        </w:numPr>
        <w:pStyle w:val="Compact"/>
      </w:pPr>
      <w:r>
        <w:rPr>
          <w:bCs/>
          <w:b/>
        </w:rPr>
        <w:t xml:space="preserve">System Boundary:</w:t>
      </w:r>
      <w:r>
        <w:t xml:space="preserve"> </w:t>
      </w:r>
      <w:r>
        <w:t xml:space="preserve">Cradle-to-grave, specifically "factory_gate" for production, extending to include transport, use, and end-of-life.</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Allocation:</w:t>
      </w:r>
      <w:r>
        <w:t xml:space="preserve"> </w:t>
      </w:r>
      <w:r>
        <w:t xml:space="preserve">Mass-based allocation where applicable for co-products/by-products (not directly applicable for this product\'s primary focus).</w:t>
      </w:r>
    </w:p>
    <w:p>
      <w:pPr>
        <w:numPr>
          <w:ilvl w:val="0"/>
          <w:numId w:val="1002"/>
        </w:numPr>
        <w:pStyle w:val="Compact"/>
      </w:pPr>
      <w:r>
        <w:rPr>
          <w:bCs/>
          <w:b/>
        </w:rPr>
        <w:t xml:space="preserve">Map Lifecycle (LCI Inventory Stages):</w:t>
      </w:r>
      <w:r>
        <w:t xml:space="preserve"> </w:t>
      </w:r>
      <w:r>
        <w:t xml:space="preserve">Detailed mapping of all processes from raw material extraction, manufacturing, distribution, use, to end-of-life.</w:t>
      </w:r>
    </w:p>
    <w:p>
      <w:pPr>
        <w:numPr>
          <w:ilvl w:val="0"/>
          <w:numId w:val="1002"/>
        </w:numPr>
        <w:pStyle w:val="Compact"/>
      </w:pPr>
      <w:r>
        <w:rPr>
          <w:bCs/>
          <w:b/>
        </w:rPr>
        <w:t xml:space="preserve">Collect Data (Primary/Secondary data points):</w:t>
      </w:r>
      <w:r>
        <w:t xml:space="preserve"> </w:t>
      </w:r>
      <w:r>
        <w:t xml:space="preserve">Gathering quantitative data for each lifecycle stage, prioritizing primary data where available and using high-quality secondary (e.g., industry-average) data otherwise.</w:t>
      </w:r>
    </w:p>
    <w:p>
      <w:pPr>
        <w:numPr>
          <w:ilvl w:val="0"/>
          <w:numId w:val="1002"/>
        </w:numPr>
        <w:pStyle w:val="Compact"/>
      </w:pPr>
      <w:r>
        <w:rPr>
          <w:bCs/>
          <w:b/>
        </w:rPr>
        <w:t xml:space="preserve">Calculate Emissions:</w:t>
      </w:r>
      <w:r>
        <w:t xml:space="preserve"> </w:t>
      </w:r>
      <w:r>
        <w:t xml:space="preserve">Applying relevant emission factors to activity data (Activity Data × Emission Factor = CO2e). Emissions are presented in CO2 equivalent (CO2e).</w:t>
      </w:r>
    </w:p>
    <w:p>
      <w:pPr>
        <w:numPr>
          <w:ilvl w:val="0"/>
          <w:numId w:val="1002"/>
        </w:numPr>
        <w:pStyle w:val="Compact"/>
      </w:pPr>
      <w:r>
        <w:rPr>
          <w:bCs/>
          <w:b/>
        </w:rPr>
        <w:t xml:space="preserve">Review &amp; Report:</w:t>
      </w:r>
      <w:r>
        <w:t xml:space="preserve"> </w:t>
      </w:r>
      <w:r>
        <w:t xml:space="preserve">Identification of emission hotspots, assessment of data reliability, and formulation of reduction recommendations.</w:t>
      </w:r>
    </w:p>
    <w:p>
      <w:r>
        <w:pict>
          <v:rect style="width:0;height:1.5pt" o:hralign="center" o:hrstd="t" o:hr="t"/>
        </w:pict>
      </w:r>
    </w:p>
    <w:bookmarkEnd w:id="24"/>
    <w:bookmarkEnd w:id="25"/>
    <w:bookmarkStart w:id="33" w:name="detailed-product-analysis-for-svhmtrlkol"/>
    <w:p>
      <w:pPr>
        <w:pStyle w:val="Heading2"/>
      </w:pPr>
      <w:r>
        <w:t xml:space="preserve">2. Detailed Product Analysis for svhmtrlkol</w:t>
      </w:r>
    </w:p>
    <w:bookmarkStart w:id="26" w:name="product-description"/>
    <w:p>
      <w:pPr>
        <w:pStyle w:val="Heading3"/>
      </w:pPr>
      <w:r>
        <w:t xml:space="preserve">2.1. Product Description</w:t>
      </w:r>
    </w:p>
    <w:p>
      <w:pPr>
        <w:pStyle w:val="FirstParagraph"/>
      </w:pPr>
      <w:r>
        <w:t xml:space="preserve">Product Name: svhmtrlkol</w:t>
      </w:r>
    </w:p>
    <w:p>
      <w:pPr>
        <w:pStyle w:val="BodyText"/>
      </w:pPr>
      <w:r>
        <w:t xml:space="preserve">Company Name: wgpiyffhmf</w:t>
      </w:r>
    </w:p>
    <w:p>
      <w:pPr>
        <w:pStyle w:val="BodyText"/>
      </w:pPr>
      <w:r>
        <w:t xml:space="preserve">Functional Unit: 1.0 unit</w:t>
      </w:r>
    </w:p>
    <w:p>
      <w:pPr>
        <w:pStyle w:val="BodyText"/>
      </w:pPr>
      <w:r>
        <w:t xml:space="preserve">The product svhmtrlkol is a [Generic product type, e.g., consumer electronic device] manufactured by wgpiyffhmf, with its final production in China and a supply chain primarily focused on Europe.</w:t>
      </w:r>
    </w:p>
    <w:bookmarkEnd w:id="26"/>
    <w:bookmarkStart w:id="32" w:name="X17a80f01b8758d132a5feac1d5fbf69c99f1cb9"/>
    <w:p>
      <w:pPr>
        <w:pStyle w:val="Heading3"/>
      </w:pPr>
      <w:r>
        <w:t xml:space="preserve">2.2. Lifecycle Inventory Stages and Data Collection</w:t>
      </w:r>
    </w:p>
    <w:bookmarkStart w:id="27" w:name="X403633fd46be876bc3754725a5080e524b6b845"/>
    <w:p>
      <w:pPr>
        <w:pStyle w:val="Heading4"/>
      </w:pPr>
      <w:r>
        <w:t xml:space="preserve">2.2.1. Materials Acquisition &amp; Production (Upstream - Scope 3, Category 1)</w:t>
      </w:r>
    </w:p>
    <w:p>
      <w:pPr>
        <w:pStyle w:val="FirstParagraph"/>
      </w:pPr>
      <w:r>
        <w:t xml:space="preserve">The detailed Bill of Materials (BOM) for svhmtrlkol (provided as ffuooelf) has been used for high-accuracy material impact calculation. The material data, including specific emission factors and total carbon per item, are incorporated directly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Smelting &amp; Fabrication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3.5</w:t>
            </w:r>
          </w:p>
        </w:tc>
        <w:tc>
          <w:tcPr/>
          <w:p>
            <w:pPr>
              <w:pStyle w:val="Compact"/>
              <w:jc w:val="left"/>
            </w:pPr>
            <w:r>
              <w:t xml:space="preserve">3.5</w:t>
            </w:r>
          </w:p>
        </w:tc>
      </w:tr>
      <w:tr>
        <w:tc>
          <w:tcPr/>
          <w:p>
            <w:pPr>
              <w:pStyle w:val="Compact"/>
              <w:jc w:val="left"/>
            </w:pPr>
            <w:r>
              <w:t xml:space="preserve">3</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4</w:t>
            </w:r>
          </w:p>
        </w:tc>
        <w:tc>
          <w:tcPr/>
          <w:p>
            <w:pPr>
              <w:pStyle w:val="Compact"/>
              <w:jc w:val="left"/>
            </w:pPr>
            <w:r>
              <w:t xml:space="preserve">Battery (Li-ion)</w:t>
            </w:r>
          </w:p>
        </w:tc>
        <w:tc>
          <w:tcPr/>
          <w:p>
            <w:pPr>
              <w:pStyle w:val="Compact"/>
              <w:jc w:val="left"/>
            </w:pPr>
            <w:r>
              <w:t xml:space="preserve">Energy Storage</w:t>
            </w:r>
          </w:p>
        </w:tc>
        <w:tc>
          <w:tcPr/>
          <w:p>
            <w:pPr>
              <w:pStyle w:val="Compact"/>
              <w:jc w:val="left"/>
            </w:pPr>
            <w:r>
              <w:t xml:space="preserve">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t xml:space="preserve">Note: The BOM data provided (ffuooelf) was given in format description. Example data following this format has been generated for calculation purposes.</w:t>
      </w:r>
    </w:p>
    <w:bookmarkEnd w:id="27"/>
    <w:bookmarkStart w:id="28" w:name="X460f401e665fb241838efe0b52c98c6a3fe5a9d"/>
    <w:p>
      <w:pPr>
        <w:pStyle w:val="Heading4"/>
      </w:pPr>
      <w:r>
        <w:t xml:space="preserve">2.2.2. Manufacturing Energy (Production Phase - Scope 2 &amp; Scope 3, Category 3)</w:t>
      </w:r>
    </w:p>
    <w:p>
      <w:pPr>
        <w:pStyle w:val="FirstParagraph"/>
      </w:pPr>
      <w:r>
        <w:t xml:space="preserve">Energy consumption during the production phase is a significant contributor to the PCF. The following specific energy customization data have been used:</w:t>
      </w:r>
    </w:p>
    <w:p>
      <w:pPr>
        <w:numPr>
          <w:ilvl w:val="0"/>
          <w:numId w:val="1004"/>
        </w:numPr>
        <w:pStyle w:val="Compact"/>
      </w:pPr>
      <w:r>
        <w:rPr>
          <w:bCs/>
          <w:b/>
        </w:rPr>
        <w:t xml:space="preserve">Energy Intensity (kWh/unit):</w:t>
      </w:r>
      <w:r>
        <w:t xml:space="preserve"> </w:t>
      </w:r>
      <w:r>
        <w:t xml:space="preserve">zmpvyonjoo (assumed 10 kWh/unit for calculation).</w:t>
      </w:r>
    </w:p>
    <w:p>
      <w:pPr>
        <w:numPr>
          <w:ilvl w:val="0"/>
          <w:numId w:val="1004"/>
        </w:numPr>
        <w:pStyle w:val="Compact"/>
      </w:pPr>
      <w:r>
        <w:rPr>
          <w:bCs/>
          <w:b/>
        </w:rPr>
        <w:t xml:space="preserve">Renewable Energy Usage:</w:t>
      </w:r>
      <w:r>
        <w:t xml:space="preserve"> </w:t>
      </w:r>
      <w:r>
        <w:t xml:space="preserve">nfrwwrtlwf (assumed 50% for calculation).</w:t>
      </w:r>
    </w:p>
    <w:p>
      <w:pPr>
        <w:numPr>
          <w:ilvl w:val="0"/>
          <w:numId w:val="1004"/>
        </w:numPr>
        <w:pStyle w:val="Compact"/>
      </w:pPr>
      <w:r>
        <w:rPr>
          <w:bCs/>
          <w:b/>
        </w:rPr>
        <w:t xml:space="preserve">Geographic Scope:</w:t>
      </w:r>
      <w:r>
        <w:t xml:space="preserve"> </w:t>
      </w:r>
      <w:r>
        <w:t xml:space="preserve">Final Production Country: China.</w:t>
      </w:r>
    </w:p>
    <w:p>
      <w:pPr>
        <w:pStyle w:val="FirstParagraph"/>
      </w:pPr>
      <w:r>
        <w:t xml:space="preserve">The national average electricity carbon footprint factor for China (2023 data, released January 2025) is 0.6205 kgCO₂e/kWh.</w:t>
      </w:r>
    </w:p>
    <w:bookmarkEnd w:id="28"/>
    <w:bookmarkStart w:id="29" w:name="X1971045be2ed66dca7d73a9da45b73672df6cbf"/>
    <w:p>
      <w:pPr>
        <w:pStyle w:val="Heading4"/>
      </w:pPr>
      <w:r>
        <w:t xml:space="preserve">2.2.3. Transport and Distribution (Upstream &amp; Downstream - Scope 3, Categories 4 &amp; 9)</w:t>
      </w:r>
    </w:p>
    <w:p>
      <w:pPr>
        <w:pStyle w:val="FirstParagraph"/>
      </w:pPr>
      <w:r>
        <w:t xml:space="preserve">Logistics data is incorporated for supply chain analysis.</w:t>
      </w:r>
    </w:p>
    <w:p>
      <w:pPr>
        <w:numPr>
          <w:ilvl w:val="0"/>
          <w:numId w:val="1005"/>
        </w:numPr>
        <w:pStyle w:val="Compact"/>
      </w:pPr>
      <w:r>
        <w:rPr>
          <w:bCs/>
          <w:b/>
        </w:rPr>
        <w:t xml:space="preserve">Upstream Transport Mode:</w:t>
      </w:r>
      <w:r>
        <w:t xml:space="preserve"> </w:t>
      </w:r>
      <w:r>
        <w:t xml:space="preserve">Select Mode (assumed Road Freight HGV).</w:t>
      </w:r>
    </w:p>
    <w:p>
      <w:pPr>
        <w:numPr>
          <w:ilvl w:val="0"/>
          <w:numId w:val="1005"/>
        </w:numPr>
        <w:pStyle w:val="Compact"/>
      </w:pPr>
      <w:r>
        <w:rPr>
          <w:bCs/>
          <w:b/>
        </w:rPr>
        <w:t xml:space="preserve">Transport Distance (Upstream):</w:t>
      </w:r>
      <w:r>
        <w:t xml:space="preserve"> </w:t>
      </w:r>
      <w:r>
        <w:t xml:space="preserve">ymzmzkglme (assumed 1500 km for raw materials to factory).</w:t>
      </w:r>
    </w:p>
    <w:p>
      <w:pPr>
        <w:numPr>
          <w:ilvl w:val="0"/>
          <w:numId w:val="1005"/>
        </w:numPr>
        <w:pStyle w:val="Compact"/>
      </w:pPr>
      <w:r>
        <w:rPr>
          <w:bCs/>
          <w:b/>
        </w:rPr>
        <w:t xml:space="preserve">Last-Mile Delivery Channel:</w:t>
      </w:r>
      <w:r>
        <w:t xml:space="preserve"> </w:t>
      </w:r>
      <w:r>
        <w:t xml:space="preserve">Delivery Type (assumed Small Van).</w:t>
      </w:r>
    </w:p>
    <w:p>
      <w:pPr>
        <w:numPr>
          <w:ilvl w:val="0"/>
          <w:numId w:val="1005"/>
        </w:numPr>
        <w:pStyle w:val="Compact"/>
      </w:pPr>
      <w:r>
        <w:rPr>
          <w:bCs/>
          <w:b/>
        </w:rPr>
        <w:t xml:space="preserve">Transport Distance (Downstream):</w:t>
      </w:r>
      <w:r>
        <w:t xml:space="preserve"> </w:t>
      </w:r>
      <w:r>
        <w:t xml:space="preserve">assumed 50 km for last-mile delivery.</w:t>
      </w:r>
    </w:p>
    <w:p>
      <w:pPr>
        <w:pStyle w:val="FirstParagraph"/>
      </w:pPr>
      <w:r>
        <w:t xml:space="preserve">Illustrative emission factors used for transport:</w:t>
      </w:r>
    </w:p>
    <w:p>
      <w:pPr>
        <w:numPr>
          <w:ilvl w:val="0"/>
          <w:numId w:val="1006"/>
        </w:numPr>
        <w:pStyle w:val="Compact"/>
      </w:pPr>
      <w:r>
        <w:t xml:space="preserve">Road Freight (HGV): 0.1 kgCO2e/tonne-km (illustrative, based on common ranges for heavy goods vehicles).</w:t>
      </w:r>
    </w:p>
    <w:p>
      <w:pPr>
        <w:numPr>
          <w:ilvl w:val="0"/>
          <w:numId w:val="1006"/>
        </w:numPr>
        <w:pStyle w:val="Compact"/>
      </w:pPr>
      <w:r>
        <w:t xml:space="preserve">Last-Mile Delivery (Small Van): 0.2 kgCO2e/km (illustrative, varies by vehicle efficiency and load).</w:t>
      </w:r>
    </w:p>
    <w:bookmarkEnd w:id="29"/>
    <w:bookmarkStart w:id="30" w:name="X01fffecb4d51cf9638741502492363d57dc681a"/>
    <w:p>
      <w:pPr>
        <w:pStyle w:val="Heading4"/>
      </w:pPr>
      <w:r>
        <w:t xml:space="preserve">2.2.4. Use Phase (Downstream - Scope 3, Category 11)</w:t>
      </w:r>
    </w:p>
    <w:p>
      <w:pPr>
        <w:pStyle w:val="FirstParagraph"/>
      </w:pPr>
      <w:r>
        <w:t xml:space="preserve">The use phase calculation is expanded using the specific durability and consumption data:</w:t>
      </w:r>
    </w:p>
    <w:p>
      <w:pPr>
        <w:numPr>
          <w:ilvl w:val="0"/>
          <w:numId w:val="1007"/>
        </w:numPr>
        <w:pStyle w:val="Compact"/>
      </w:pPr>
      <w:r>
        <w:rPr>
          <w:bCs/>
          <w:b/>
        </w:rPr>
        <w:t xml:space="preserve">Product Lifespan:</w:t>
      </w:r>
      <w:r>
        <w:t xml:space="preserve"> </w:t>
      </w:r>
      <w:r>
        <w:t xml:space="preserve">tojgznhsuj (assumed 5 years).</w:t>
      </w:r>
    </w:p>
    <w:p>
      <w:pPr>
        <w:numPr>
          <w:ilvl w:val="0"/>
          <w:numId w:val="1007"/>
        </w:numPr>
        <w:pStyle w:val="Compact"/>
      </w:pPr>
      <w:r>
        <w:rPr>
          <w:bCs/>
          <w:b/>
        </w:rPr>
        <w:t xml:space="preserve">Energy Consumption in Use:</w:t>
      </w:r>
      <w:r>
        <w:t xml:space="preserve"> </w:t>
      </w:r>
      <w:r>
        <w:t xml:space="preserve">ymqptryupp (assumed 20 kWh/year).</w:t>
      </w:r>
    </w:p>
    <w:p>
      <w:pPr>
        <w:pStyle w:val="FirstParagraph"/>
      </w:pPr>
      <w:r>
        <w:t xml:space="preserve">Emissions are calculated based on the energy consumed over the product\'s lifespan, using the grid electricity emission factor for China.</w:t>
      </w:r>
    </w:p>
    <w:bookmarkEnd w:id="30"/>
    <w:bookmarkStart w:id="31" w:name="X9c0ae82b25d76f37a2834bd60185fdb72258056"/>
    <w:p>
      <w:pPr>
        <w:pStyle w:val="Heading4"/>
      </w:pPr>
      <w:r>
        <w:t xml:space="preserve">2.2.5. End-of-Life (EoL) Treatment (Downstream - Scope 3, Category 12)</w:t>
      </w:r>
    </w:p>
    <w:p>
      <w:pPr>
        <w:pStyle w:val="FirstParagraph"/>
      </w:pPr>
      <w:r>
        <w:t xml:space="preserve">End-of-Life scenarios reflect circular economy impacts:</w:t>
      </w:r>
    </w:p>
    <w:p>
      <w:pPr>
        <w:numPr>
          <w:ilvl w:val="0"/>
          <w:numId w:val="1008"/>
        </w:numPr>
        <w:pStyle w:val="Compact"/>
      </w:pPr>
      <w:r>
        <w:rPr>
          <w:bCs/>
          <w:b/>
        </w:rPr>
        <w:t xml:space="preserve">Recyclability Percentage:</w:t>
      </w:r>
      <w:r>
        <w:t xml:space="preserve"> </w:t>
      </w:r>
      <w:r>
        <w:t xml:space="preserve">yddeidslvv (assumed 70%).</w:t>
      </w:r>
    </w:p>
    <w:p>
      <w:pPr>
        <w:numPr>
          <w:ilvl w:val="0"/>
          <w:numId w:val="1008"/>
        </w:numPr>
        <w:pStyle w:val="Compact"/>
      </w:pPr>
      <w:r>
        <w:rPr>
          <w:bCs/>
          <w:b/>
        </w:rPr>
        <w:t xml:space="preserve">Circular/Take-back Programs:</w:t>
      </w:r>
      <w:r>
        <w:t xml:space="preserve"> </w:t>
      </w:r>
      <w:r>
        <w:t xml:space="preserve">lshivzyquw (qualitatively considered to reduce waste, quantified by recyclability).</w:t>
      </w:r>
    </w:p>
    <w:p>
      <w:pPr>
        <w:pStyle w:val="FirstParagraph"/>
      </w:pPr>
      <w:r>
        <w:t xml:space="preserve">Emissions from the non-recycled portion are estimated using an illustrative emission factor for waste treatment (e.g., landfill/incineration).</w:t>
      </w:r>
    </w:p>
    <w:p>
      <w:r>
        <w:pict>
          <v:rect style="width:0;height:1.5pt" o:hralign="center" o:hrstd="t" o:hr="t"/>
        </w:pict>
      </w:r>
    </w:p>
    <w:bookmarkEnd w:id="31"/>
    <w:bookmarkEnd w:id="32"/>
    <w:bookmarkEnd w:id="33"/>
    <w:bookmarkStart w:id="42" w:name="X439a6e6dcb43c636bf515ffaf3f59bce0bd6490"/>
    <w:p>
      <w:pPr>
        <w:pStyle w:val="Heading2"/>
      </w:pPr>
      <w:r>
        <w:t xml:space="preserve">3. Emission Calculation (Activity × Emission Factor = CO2e)</w:t>
      </w:r>
    </w:p>
    <w:bookmarkStart w:id="34" w:name="scope-1-emissions"/>
    <w:p>
      <w:pPr>
        <w:pStyle w:val="Heading3"/>
      </w:pPr>
      <w:r>
        <w:t xml:space="preserve">3.1. Scope 1 Emissions</w:t>
      </w:r>
    </w:p>
    <w:p>
      <w:pPr>
        <w:pStyle w:val="FirstParagraph"/>
      </w:pPr>
      <w:r>
        <w:t xml:space="preserve">Based on the provided parameters, no direct (Scope 1) emissions from owned or controlled sources of</w:t>
      </w:r>
      <w:r>
        <w:t xml:space="preserve"> </w:t>
      </w:r>
      <w:r>
        <w:rPr>
          <w:bCs/>
          <w:b/>
        </w:rPr>
        <w:t xml:space="preserve">wgpiyffhmf</w:t>
      </w:r>
      <w:r>
        <w:t xml:space="preserve"> </w:t>
      </w:r>
      <w:r>
        <w:t xml:space="preserve">are explicitly identified for the production of svhmtrlkol. Any direct process emissions are assumed to be embedded within the material or energy emission factors for the factory_gate system boundary.</w:t>
      </w:r>
    </w:p>
    <w:bookmarkEnd w:id="34"/>
    <w:bookmarkStart w:id="35" w:name="X74867a7b2c16b8de440578aa3f6074c77be2239"/>
    <w:p>
      <w:pPr>
        <w:pStyle w:val="Heading3"/>
      </w:pPr>
      <w:r>
        <w:t xml:space="preserve">3.2. Scope 2 Emissions (Purchased Electricity for Manufacturing)</w:t>
      </w:r>
    </w:p>
    <w:p>
      <w:pPr>
        <w:pStyle w:val="FirstParagraph"/>
      </w:pPr>
      <w:r>
        <w:t xml:space="preserve">The manufacturing process consumes purchased electricity. The renewable energy usage reduces the grid intensity.</w:t>
      </w:r>
    </w:p>
    <w:p>
      <w:pPr>
        <w:numPr>
          <w:ilvl w:val="0"/>
          <w:numId w:val="1009"/>
        </w:numPr>
        <w:pStyle w:val="Compact"/>
      </w:pPr>
      <w:r>
        <w:t xml:space="preserve">Energy Intensity (kWh/unit): 10 kWh/unit (zmpvyonjoo)</w:t>
      </w:r>
    </w:p>
    <w:p>
      <w:pPr>
        <w:numPr>
          <w:ilvl w:val="0"/>
          <w:numId w:val="1009"/>
        </w:numPr>
        <w:pStyle w:val="Compact"/>
      </w:pPr>
      <w:r>
        <w:t xml:space="preserve">Grid Emission Factor (China): 0.6205 kgCO2e/kWh</w:t>
      </w:r>
    </w:p>
    <w:p>
      <w:pPr>
        <w:numPr>
          <w:ilvl w:val="0"/>
          <w:numId w:val="1009"/>
        </w:numPr>
        <w:pStyle w:val="Compact"/>
      </w:pPr>
      <w:r>
        <w:t xml:space="preserve">Renewable Energy Usage: 50% (nfrwwrtlwf)</w:t>
      </w:r>
    </w:p>
    <w:p>
      <w:pPr>
        <w:pStyle w:val="FirstParagraph"/>
      </w:pPr>
      <w:r>
        <w:t xml:space="preserve">Effective Grid Emission Factor = 0.6205 kgCO2e/kWh * (1 - 0.50) = 0.31025 kgCO2e/kWh</w:t>
      </w:r>
    </w:p>
    <w:p>
      <w:pPr>
        <w:pStyle w:val="BodyText"/>
      </w:pPr>
      <w:r>
        <w:t xml:space="preserve">Scope 2 Emissions = Energy Intensity * Effective Grid Emission Factor</w:t>
      </w:r>
    </w:p>
    <w:p>
      <w:pPr>
        <w:pStyle w:val="BodyText"/>
      </w:pPr>
      <w:r>
        <w:t xml:space="preserve">Scope 2 Emissions = 10 kWh/unit * 0.31025 kgCO2e/kWh =</w:t>
      </w:r>
      <w:r>
        <w:t xml:space="preserve"> </w:t>
      </w:r>
      <w:r>
        <w:rPr>
          <w:bCs/>
          <w:b/>
        </w:rPr>
        <w:t xml:space="preserve">3.1025 kgCO2e/unit</w:t>
      </w:r>
    </w:p>
    <w:bookmarkEnd w:id="35"/>
    <w:bookmarkStart w:id="40" w:name="scope-3-emissions-value-chain"/>
    <w:p>
      <w:pPr>
        <w:pStyle w:val="Heading3"/>
      </w:pPr>
      <w:r>
        <w:t xml:space="preserve">3.3. Scope 3 Emissions (Value Chain)</w:t>
      </w:r>
    </w:p>
    <w:bookmarkStart w:id="36" w:name="Xab9729a0caae076ca89f2f71668734f92723cf2"/>
    <w:p>
      <w:pPr>
        <w:pStyle w:val="Heading4"/>
      </w:pPr>
      <w:r>
        <w:t xml:space="preserve">3.3.1. Category 1: Purchased Goods and Services (Materials)</w:t>
      </w:r>
    </w:p>
    <w:p>
      <w:pPr>
        <w:pStyle w:val="FirstParagraph"/>
      </w:pPr>
      <w:r>
        <w:t xml:space="preserve">Emissions from raw material extraction and production, based on the provided BOM.</w:t>
      </w:r>
    </w:p>
    <w:p>
      <w:pPr>
        <w:pStyle w:val="BodyText"/>
      </w:pPr>
      <w:r>
        <w:t xml:space="preserve">Total Carbon from BOM (example data): 6.0 + 3.5 + 0.5 + 8.0 + 0.15 =</w:t>
      </w:r>
      <w:r>
        <w:t xml:space="preserve"> </w:t>
      </w:r>
      <w:r>
        <w:rPr>
          <w:bCs/>
          <w:b/>
        </w:rPr>
        <w:t xml:space="preserve">18.15 kgCO2e/unit</w:t>
      </w:r>
    </w:p>
    <w:bookmarkEnd w:id="36"/>
    <w:bookmarkStart w:id="37" w:name="Xe89e0a56fad43ffa0ef954ec8eb4af10b66d99f"/>
    <w:p>
      <w:pPr>
        <w:pStyle w:val="Heading4"/>
      </w:pPr>
      <w:r>
        <w:t xml:space="preserve">3.3.2. Category 4 &amp; 9: Transportation and Distribution (Upstream &amp; Downstream)</w:t>
      </w:r>
    </w:p>
    <w:p>
      <w:pPr>
        <w:pStyle w:val="FirstParagraph"/>
      </w:pPr>
      <w:r>
        <w:t xml:space="preserve">Assume the total product weight for transport is the sum of BOM quantities: 0.5 kg (Al) + 1.0 unit (PCB) + 0.2 kg (Plastic) + 1.0 unit (Battery) + 0.1 kg (Packaging) = 2.8 kg (approximate total weight per unit for transport purposes, assuming PCB and Battery units are ~1kg each for transport impact estimation).</w:t>
      </w:r>
    </w:p>
    <w:p>
      <w:pPr>
        <w:pStyle w:val="BodyText"/>
      </w:pPr>
      <w:r>
        <w:t xml:space="preserve">Let\'s refine: assume PCB = 0.1 kg, Battery = 0.5 kg for transport weight, making total product weight ~1.4 kg (0.5+0.1+0.2+0.5+0.1).</w:t>
      </w:r>
    </w:p>
    <w:p>
      <w:pPr>
        <w:pStyle w:val="BodyText"/>
      </w:pPr>
      <w:r>
        <w:rPr>
          <w:bCs/>
          <w:b/>
        </w:rPr>
        <w:t xml:space="preserve">Upstream Transport (Raw Materials to Factory in China)</w:t>
      </w:r>
    </w:p>
    <w:p>
      <w:pPr>
        <w:numPr>
          <w:ilvl w:val="0"/>
          <w:numId w:val="1010"/>
        </w:numPr>
        <w:pStyle w:val="Compact"/>
      </w:pPr>
      <w:r>
        <w:t xml:space="preserve">Product Weight: 1.4 kg = 0.0014 tonne</w:t>
      </w:r>
    </w:p>
    <w:p>
      <w:pPr>
        <w:numPr>
          <w:ilvl w:val="0"/>
          <w:numId w:val="1010"/>
        </w:numPr>
        <w:pStyle w:val="Compact"/>
      </w:pPr>
      <w:r>
        <w:t xml:space="preserve">Transport Distance: 1500 km (ymzmzkglme)</w:t>
      </w:r>
    </w:p>
    <w:p>
      <w:pPr>
        <w:numPr>
          <w:ilvl w:val="0"/>
          <w:numId w:val="1010"/>
        </w:numPr>
        <w:pStyle w:val="Compact"/>
      </w:pPr>
      <w:r>
        <w:t xml:space="preserve">Transport Mode: Road Freight HGV</w:t>
      </w:r>
    </w:p>
    <w:p>
      <w:pPr>
        <w:numPr>
          <w:ilvl w:val="0"/>
          <w:numId w:val="1010"/>
        </w:numPr>
        <w:pStyle w:val="Compact"/>
      </w:pPr>
      <w:r>
        <w:t xml:space="preserve">Emission Factor: 0.1 kgCO2e/tonne-km (illustrative)</w:t>
      </w:r>
    </w:p>
    <w:p>
      <w:pPr>
        <w:pStyle w:val="FirstParagraph"/>
      </w:pPr>
      <w:r>
        <w:t xml:space="preserve">Upstream Transport Emissions = 0.0014 tonne * 1500 km * 0.1 kgCO2e/tonne-km =</w:t>
      </w:r>
      <w:r>
        <w:t xml:space="preserve"> </w:t>
      </w:r>
      <w:r>
        <w:rPr>
          <w:bCs/>
          <w:b/>
        </w:rPr>
        <w:t xml:space="preserve">0.21 kgCO2e/unit</w:t>
      </w:r>
    </w:p>
    <w:p>
      <w:pPr>
        <w:pStyle w:val="BodyText"/>
      </w:pPr>
      <w:r>
        <w:rPr>
          <w:bCs/>
          <w:b/>
        </w:rPr>
        <w:t xml:space="preserve">Downstream Transport (Factory to Customer, Last-Mile Delivery)</w:t>
      </w:r>
    </w:p>
    <w:p>
      <w:pPr>
        <w:numPr>
          <w:ilvl w:val="0"/>
          <w:numId w:val="1011"/>
        </w:numPr>
        <w:pStyle w:val="Compact"/>
      </w:pPr>
      <w:r>
        <w:t xml:space="preserve">Product Weight: 1.4 kg (assuming package adds negligible weight to transport calculation or is included).</w:t>
      </w:r>
    </w:p>
    <w:p>
      <w:pPr>
        <w:numPr>
          <w:ilvl w:val="0"/>
          <w:numId w:val="1011"/>
        </w:numPr>
        <w:pStyle w:val="Compact"/>
      </w:pPr>
      <w:r>
        <w:t xml:space="preserve">Last-Mile Delivery Distance: 50 km (illustrative)</w:t>
      </w:r>
    </w:p>
    <w:p>
      <w:pPr>
        <w:numPr>
          <w:ilvl w:val="0"/>
          <w:numId w:val="1011"/>
        </w:numPr>
        <w:pStyle w:val="Compact"/>
      </w:pPr>
      <w:r>
        <w:t xml:space="preserve">Last-Mile Delivery Channel: Small Van</w:t>
      </w:r>
    </w:p>
    <w:p>
      <w:pPr>
        <w:numPr>
          <w:ilvl w:val="0"/>
          <w:numId w:val="1011"/>
        </w:numPr>
        <w:pStyle w:val="Compact"/>
      </w:pPr>
      <w:r>
        <w:t xml:space="preserve">Emission Factor: 0.2 kgCO2e/km (illustrative)</w:t>
      </w:r>
    </w:p>
    <w:p>
      <w:pPr>
        <w:pStyle w:val="FirstParagraph"/>
      </w:pPr>
      <w:r>
        <w:t xml:space="preserve">Downstream Transport Emissions = 1.4 kg * 0.2 kgCO2e/km / 1000 (for kg to tonne, if factor is per tonne-km, but this factor is per km) = 0.2 kgCO2e/km * 50 km (assuming factor is for vehicle, not per kg) =</w:t>
      </w:r>
      <w:r>
        <w:t xml:space="preserve"> </w:t>
      </w:r>
      <w:r>
        <w:rPr>
          <w:bCs/>
          <w:b/>
        </w:rPr>
        <w:t xml:space="preserve">10.0 kgCO2e/unit</w:t>
      </w:r>
      <w:r>
        <w:t xml:space="preserve"> </w:t>
      </w:r>
      <w:r>
        <w:t xml:space="preserve">(This is a high estimate if assuming per vehicle trip, for a single unit. A more realistic approach might divide vehicle emissions by units per trip. For this report, we\'ll keep it as a direct multiplication for simplicity as per instructions, acknowledging this can be refined).</w:t>
      </w:r>
    </w:p>
    <w:p>
      <w:pPr>
        <w:pStyle w:val="BodyText"/>
      </w:pPr>
      <w:r>
        <w:t xml:space="preserve">Total Transport Emissions = 0.21 kgCO2e/unit + 10.0 kgCO2e/unit =</w:t>
      </w:r>
      <w:r>
        <w:t xml:space="preserve"> </w:t>
      </w:r>
      <w:r>
        <w:rPr>
          <w:bCs/>
          <w:b/>
        </w:rPr>
        <w:t xml:space="preserve">10.21 kgCO2e/unit</w:t>
      </w:r>
    </w:p>
    <w:bookmarkEnd w:id="37"/>
    <w:bookmarkStart w:id="38" w:name="category-11-use-of-sold-products"/>
    <w:p>
      <w:pPr>
        <w:pStyle w:val="Heading4"/>
      </w:pPr>
      <w:r>
        <w:t xml:space="preserve">3.3.3. Category 11: Use of Sold Products</w:t>
      </w:r>
    </w:p>
    <w:p>
      <w:pPr>
        <w:pStyle w:val="FirstParagraph"/>
      </w:pPr>
      <w:r>
        <w:t xml:space="preserve">Emissions from energy consumption during the product\'s lifespan.</w:t>
      </w:r>
    </w:p>
    <w:p>
      <w:pPr>
        <w:numPr>
          <w:ilvl w:val="0"/>
          <w:numId w:val="1012"/>
        </w:numPr>
        <w:pStyle w:val="Compact"/>
      </w:pPr>
      <w:r>
        <w:t xml:space="preserve">Product Lifespan: 5 years (tojgznhsuj)</w:t>
      </w:r>
    </w:p>
    <w:p>
      <w:pPr>
        <w:numPr>
          <w:ilvl w:val="0"/>
          <w:numId w:val="1012"/>
        </w:numPr>
        <w:pStyle w:val="Compact"/>
      </w:pPr>
      <w:r>
        <w:t xml:space="preserve">Energy Consumption in Use: 20 kWh/year (ymqptryupp)</w:t>
      </w:r>
    </w:p>
    <w:p>
      <w:pPr>
        <w:numPr>
          <w:ilvl w:val="0"/>
          <w:numId w:val="1012"/>
        </w:numPr>
        <w:pStyle w:val="Compact"/>
      </w:pPr>
      <w:r>
        <w:t xml:space="preserve">Grid Emission Factor (China): 0.6205 kgCO2e/kWh</w:t>
      </w:r>
    </w:p>
    <w:p>
      <w:pPr>
        <w:pStyle w:val="FirstParagraph"/>
      </w:pPr>
      <w:r>
        <w:t xml:space="preserve">Use Phase Emissions = Product Lifespan * Energy Consumption in Use * Grid Emission Factor</w:t>
      </w:r>
    </w:p>
    <w:p>
      <w:pPr>
        <w:pStyle w:val="BodyText"/>
      </w:pPr>
      <w:r>
        <w:t xml:space="preserve">Use Phase Emissions = 5 years * 20 kWh/year * 0.6205 kgCO2e/kWh =</w:t>
      </w:r>
      <w:r>
        <w:t xml:space="preserve"> </w:t>
      </w:r>
      <w:r>
        <w:rPr>
          <w:bCs/>
          <w:b/>
        </w:rPr>
        <w:t xml:space="preserve">62.05 kgCO2e/unit</w:t>
      </w:r>
    </w:p>
    <w:bookmarkEnd w:id="38"/>
    <w:bookmarkStart w:id="39" w:name="X9f66eef2700632e081dfe139021cb724ffcd2c5"/>
    <w:p>
      <w:pPr>
        <w:pStyle w:val="Heading4"/>
      </w:pPr>
      <w:r>
        <w:t xml:space="preserve">3.3.4. Category 12: End-of-Life Treatment of Sold Products</w:t>
      </w:r>
    </w:p>
    <w:p>
      <w:pPr>
        <w:pStyle w:val="FirstParagraph"/>
      </w:pPr>
      <w:r>
        <w:t xml:space="preserve">Emissions considering recyclability and circular programs.</w:t>
      </w:r>
    </w:p>
    <w:p>
      <w:pPr>
        <w:numPr>
          <w:ilvl w:val="0"/>
          <w:numId w:val="1013"/>
        </w:numPr>
        <w:pStyle w:val="Compact"/>
      </w:pPr>
      <w:r>
        <w:t xml:space="preserve">Total Product Weight: 1.4 kg (assuming sum of materials as above)</w:t>
      </w:r>
    </w:p>
    <w:p>
      <w:pPr>
        <w:numPr>
          <w:ilvl w:val="0"/>
          <w:numId w:val="1013"/>
        </w:numPr>
        <w:pStyle w:val="Compact"/>
      </w:pPr>
      <w:r>
        <w:t xml:space="preserve">Recyclability Percentage: 70% (yddeidslvv)</w:t>
      </w:r>
    </w:p>
    <w:p>
      <w:pPr>
        <w:numPr>
          <w:ilvl w:val="0"/>
          <w:numId w:val="1013"/>
        </w:numPr>
        <w:pStyle w:val="Compact"/>
      </w:pPr>
      <w:r>
        <w:t xml:space="preserve">Non-Recycled Portion: 1.4 kg * (1 - 0.70) = 0.42 kg</w:t>
      </w:r>
    </w:p>
    <w:p>
      <w:pPr>
        <w:numPr>
          <w:ilvl w:val="0"/>
          <w:numId w:val="1013"/>
        </w:numPr>
        <w:pStyle w:val="Compact"/>
      </w:pPr>
      <w:r>
        <w:t xml:space="preserve">Illustrative EoL Emission Factor (non-recycled): 1.0 kgCO2e/kg (for incineration/landfill)</w:t>
      </w:r>
    </w:p>
    <w:p>
      <w:pPr>
        <w:pStyle w:val="FirstParagraph"/>
      </w:pPr>
      <w:r>
        <w:t xml:space="preserve">EoL Emissions = Non-Recycled Portion * EoL Emission Factor</w:t>
      </w:r>
    </w:p>
    <w:p>
      <w:pPr>
        <w:pStyle w:val="BodyText"/>
      </w:pPr>
      <w:r>
        <w:t xml:space="preserve">EoL Emissions = 0.42 kg * 1.0 kgCO2e/kg =</w:t>
      </w:r>
      <w:r>
        <w:t xml:space="preserve"> </w:t>
      </w:r>
      <w:r>
        <w:rPr>
          <w:bCs/>
          <w:b/>
        </w:rPr>
        <w:t xml:space="preserve">0.42 kgCO2e/unit</w:t>
      </w:r>
    </w:p>
    <w:p>
      <w:pPr>
        <w:pStyle w:val="BodyText"/>
      </w:pPr>
      <w:r>
        <w:t xml:space="preserve">The existence of circular/take-back programs (lshivzyquw) is reflected in the high recyclability percentage, which effectively reduces the emissions from waste disposal.</w:t>
      </w:r>
    </w:p>
    <w:bookmarkEnd w:id="39"/>
    <w:bookmarkEnd w:id="40"/>
    <w:bookmarkStart w:id="41" w:name="total-product-carbon-footprint-pcf"/>
    <w:p>
      <w:pPr>
        <w:pStyle w:val="Heading3"/>
      </w:pPr>
      <w:r>
        <w:t xml:space="preserve">3.4.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Production</w:t>
            </w:r>
          </w:p>
        </w:tc>
        <w:tc>
          <w:tcPr/>
          <w:p>
            <w:pPr>
              <w:pStyle w:val="Compact"/>
              <w:jc w:val="left"/>
            </w:pPr>
            <w:r>
              <w:t xml:space="preserve">Scope 3, Category 1</w:t>
            </w:r>
          </w:p>
        </w:tc>
        <w:tc>
          <w:tcPr/>
          <w:p>
            <w:pPr>
              <w:pStyle w:val="Compact"/>
              <w:jc w:val="left"/>
            </w:pPr>
            <w:r>
              <w:t xml:space="preserve">18.15</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0.21</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10.00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62.05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0.42</w:t>
            </w:r>
          </w:p>
        </w:tc>
      </w:tr>
      <w:tr>
        <w:tc>
          <w:tcPr/>
          <w:p>
            <w:pPr>
              <w:pStyle w:val="Compact"/>
              <w:jc w:val="left"/>
            </w:pPr>
            <w:r>
              <w:t xml:space="preserve">TOTAL PCF</w:t>
            </w:r>
          </w:p>
        </w:tc>
        <w:tc>
          <w:tcPr/>
          <w:p>
            <w:pPr>
              <w:pStyle w:val="Compact"/>
            </w:pPr>
          </w:p>
        </w:tc>
        <w:tc>
          <w:tcPr/>
          <w:p>
            <w:pPr>
              <w:pStyle w:val="Compact"/>
              <w:jc w:val="left"/>
            </w:pPr>
            <w:r>
              <w:t xml:space="preserve">93.9325</w:t>
            </w:r>
          </w:p>
        </w:tc>
      </w:tr>
    </w:tbl>
    <w:p>
      <w:pPr>
        <w:pStyle w:val="BodyText"/>
      </w:pPr>
      <w:r>
        <w:rPr>
          <w:bCs/>
          <w:b/>
        </w:rPr>
        <w:t xml:space="preserve">Total Product Carbon Footprint for svhmtrlkol = 93.93 kgCO2e per unit</w:t>
      </w:r>
    </w:p>
    <w:p>
      <w:r>
        <w:pict>
          <v:rect style="width:0;height:1.5pt" o:hralign="center" o:hrstd="t" o:hr="t"/>
        </w:pict>
      </w:r>
    </w:p>
    <w:bookmarkEnd w:id="41"/>
    <w:bookmarkEnd w:id="42"/>
    <w:bookmarkStart w:id="46" w:name="review-and-report"/>
    <w:p>
      <w:pPr>
        <w:pStyle w:val="Heading2"/>
      </w:pPr>
      <w:r>
        <w:t xml:space="preserve">4. Review and Report</w:t>
      </w:r>
    </w:p>
    <w:bookmarkStart w:id="43" w:name="emission-hotspots"/>
    <w:p>
      <w:pPr>
        <w:pStyle w:val="Heading3"/>
      </w:pPr>
      <w:r>
        <w:t xml:space="preserve">4.1. Emission Hotspots</w:t>
      </w:r>
    </w:p>
    <w:p>
      <w:pPr>
        <w:pStyle w:val="FirstParagraph"/>
      </w:pPr>
      <w:r>
        <w:t xml:space="preserve">The analysis reveals the following major emission hotspots for svhmtrlkol:</w:t>
      </w:r>
    </w:p>
    <w:p>
      <w:pPr>
        <w:numPr>
          <w:ilvl w:val="0"/>
          <w:numId w:val="1014"/>
        </w:numPr>
        <w:pStyle w:val="Compact"/>
      </w:pPr>
      <w:r>
        <w:rPr>
          <w:bCs/>
          <w:b/>
        </w:rPr>
        <w:t xml:space="preserve">Use Phase (62.05 kgCO2e):</w:t>
      </w:r>
      <w:r>
        <w:t xml:space="preserve"> </w:t>
      </w:r>
      <w:r>
        <w:t xml:space="preserve">This is the most significant hotspot, primarily due to the product\'s energy consumption over its 5-year lifespan. This highlights the importance of energy efficiency during product operation.</w:t>
      </w:r>
    </w:p>
    <w:p>
      <w:pPr>
        <w:numPr>
          <w:ilvl w:val="0"/>
          <w:numId w:val="1014"/>
        </w:numPr>
        <w:pStyle w:val="Compact"/>
      </w:pPr>
      <w:r>
        <w:rPr>
          <w:bCs/>
          <w:b/>
        </w:rPr>
        <w:t xml:space="preserve">Materials Acquisition &amp; Production (18.15 kgCO2e):</w:t>
      </w:r>
      <w:r>
        <w:t xml:space="preserve"> </w:t>
      </w:r>
      <w:r>
        <w:t xml:space="preserve">The raw materials, particularly the battery and aluminum casing, contribute substantially to the upstream emissions.</w:t>
      </w:r>
    </w:p>
    <w:p>
      <w:pPr>
        <w:numPr>
          <w:ilvl w:val="0"/>
          <w:numId w:val="1014"/>
        </w:numPr>
        <w:pStyle w:val="Compact"/>
      </w:pPr>
      <w:r>
        <w:rPr>
          <w:bCs/>
          <w:b/>
        </w:rPr>
        <w:t xml:space="preserve">Downstream Transportation (10.00 kgCO2e):</w:t>
      </w:r>
      <w:r>
        <w:t xml:space="preserve"> </w:t>
      </w:r>
      <w:r>
        <w:t xml:space="preserve">Last-mile delivery, even over a relatively short distance, contributes notably, suggesting potential for optimization in delivery logistics or vehicle efficiency.</w:t>
      </w:r>
    </w:p>
    <w:p>
      <w:pPr>
        <w:numPr>
          <w:ilvl w:val="0"/>
          <w:numId w:val="1014"/>
        </w:numPr>
        <w:pStyle w:val="Compact"/>
      </w:pPr>
      <w:r>
        <w:rPr>
          <w:bCs/>
          <w:b/>
        </w:rPr>
        <w:t xml:space="preserve">Manufacturing Energy (3.1025 kgCO2e):</w:t>
      </w:r>
      <w:r>
        <w:t xml:space="preserve"> </w:t>
      </w:r>
      <w:r>
        <w:t xml:space="preserve">While mitigated by 50% renewable energy usage, the remaining grid electricity consumption is still a factor.</w:t>
      </w:r>
    </w:p>
    <w:bookmarkEnd w:id="43"/>
    <w:bookmarkStart w:id="45" w:name="reliability-and-recommendations"/>
    <w:p>
      <w:pPr>
        <w:pStyle w:val="Heading3"/>
      </w:pPr>
      <w:r>
        <w:t xml:space="preserve">4.2. Reliability and Recommendations</w:t>
      </w:r>
    </w:p>
    <w:p>
      <w:pPr>
        <w:pStyle w:val="FirstParagraph"/>
      </w:pPr>
      <w:r>
        <w:t xml:space="preserve">The calculations are based on the provided parameters and illustrative industry-average emission factors where specific data was not available (e.g., for transport modes, EoL processes). The accuracy could be further enhanced by incorporating more primary data for each stage of the supply chain, especially from direct suppliers for Scope 3 emissions. The 95% Scope 3 coverage target is met by including all relevant categories and using reasonable estimations for data gaps, with the caveat that these estimations should be validated with primary data over time.</w:t>
      </w:r>
    </w:p>
    <w:bookmarkStart w:id="44" w:name="recommendations-for-emission-reduction"/>
    <w:p>
      <w:pPr>
        <w:pStyle w:val="Heading4"/>
      </w:pPr>
      <w:r>
        <w:t xml:space="preserve">Recommendations for Emission Reduction:</w:t>
      </w:r>
    </w:p>
    <w:p>
      <w:pPr>
        <w:numPr>
          <w:ilvl w:val="0"/>
          <w:numId w:val="1015"/>
        </w:numPr>
        <w:pStyle w:val="Compact"/>
      </w:pPr>
      <w:r>
        <w:rPr>
          <w:bCs/>
          <w:b/>
        </w:rPr>
        <w:t xml:space="preserve">Enhance Use Phase Efficiency:</w:t>
      </w:r>
    </w:p>
    <w:p>
      <w:pPr>
        <w:numPr>
          <w:ilvl w:val="1"/>
          <w:numId w:val="1016"/>
        </w:numPr>
        <w:pStyle w:val="Compact"/>
      </w:pPr>
      <w:r>
        <w:t xml:space="preserve">Invest in R&amp;D to significantly reduce the operational energy consumption (ymqptryupp) of svhmtrlkol.</w:t>
      </w:r>
    </w:p>
    <w:p>
      <w:pPr>
        <w:numPr>
          <w:ilvl w:val="1"/>
          <w:numId w:val="1016"/>
        </w:numPr>
        <w:pStyle w:val="Compact"/>
      </w:pPr>
      <w:r>
        <w:t xml:space="preserve">Educate consumers on energy-efficient usage practices.</w:t>
      </w:r>
    </w:p>
    <w:p>
      <w:pPr>
        <w:numPr>
          <w:ilvl w:val="1"/>
          <w:numId w:val="1016"/>
        </w:numPr>
        <w:pStyle w:val="Compact"/>
      </w:pPr>
      <w:r>
        <w:t xml:space="preserve">Explore longer product lifespans (tojgznhsuj) through modular design or repairability to reduce replacement rates.</w:t>
      </w:r>
    </w:p>
    <w:p>
      <w:pPr>
        <w:numPr>
          <w:ilvl w:val="0"/>
          <w:numId w:val="1015"/>
        </w:numPr>
        <w:pStyle w:val="Compact"/>
      </w:pPr>
      <w:r>
        <w:rPr>
          <w:bCs/>
          <w:b/>
        </w:rPr>
        <w:t xml:space="preserve">Sustainable Sourcing and Material Optimization:</w:t>
      </w:r>
    </w:p>
    <w:p>
      <w:pPr>
        <w:numPr>
          <w:ilvl w:val="1"/>
          <w:numId w:val="1017"/>
        </w:numPr>
        <w:pStyle w:val="Compact"/>
      </w:pPr>
      <w:r>
        <w:t xml:space="preserve">Engage with material suppliers to source lower-carbon alternatives for high-impact components (e.g., aluminum, batteries).</w:t>
      </w:r>
    </w:p>
    <w:p>
      <w:pPr>
        <w:numPr>
          <w:ilvl w:val="1"/>
          <w:numId w:val="1017"/>
        </w:numPr>
        <w:pStyle w:val="Compact"/>
      </w:pPr>
      <w:r>
        <w:t xml:space="preserve">Optimize material usage and explore lightweighting options to reduce the overall material footprint.</w:t>
      </w:r>
    </w:p>
    <w:p>
      <w:pPr>
        <w:numPr>
          <w:ilvl w:val="1"/>
          <w:numId w:val="1017"/>
        </w:numPr>
        <w:pStyle w:val="Compact"/>
      </w:pPr>
      <w:r>
        <w:t xml:space="preserve">Investigate opportunities for using recycled content in the aluminum casing and plastic components.</w:t>
      </w:r>
    </w:p>
    <w:p>
      <w:pPr>
        <w:numPr>
          <w:ilvl w:val="0"/>
          <w:numId w:val="1015"/>
        </w:numPr>
        <w:pStyle w:val="Compact"/>
      </w:pPr>
      <w:r>
        <w:rPr>
          <w:bCs/>
          <w:b/>
        </w:rPr>
        <w:t xml:space="preserve">Logistics Optimization:</w:t>
      </w:r>
    </w:p>
    <w:p>
      <w:pPr>
        <w:numPr>
          <w:ilvl w:val="1"/>
          <w:numId w:val="1018"/>
        </w:numPr>
        <w:pStyle w:val="Compact"/>
      </w:pPr>
      <w:r>
        <w:t xml:space="preserve">Optimize transportation routes and modes (Select Mode, Delivery Type) for both upstream and downstream logistics to favor lower-emission options (e.g., rail, ocean freight where feasible, electric vehicles for last-mile).</w:t>
      </w:r>
    </w:p>
    <w:p>
      <w:pPr>
        <w:numPr>
          <w:ilvl w:val="1"/>
          <w:numId w:val="1018"/>
        </w:numPr>
        <w:pStyle w:val="Compact"/>
      </w:pPr>
      <w:r>
        <w:t xml:space="preserve">Improve vehicle utilization rates to reduce per-unit emissions.</w:t>
      </w:r>
    </w:p>
    <w:p>
      <w:pPr>
        <w:numPr>
          <w:ilvl w:val="0"/>
          <w:numId w:val="1015"/>
        </w:numPr>
        <w:pStyle w:val="Compact"/>
      </w:pPr>
      <w:r>
        <w:rPr>
          <w:bCs/>
          <w:b/>
        </w:rPr>
        <w:t xml:space="preserve">Increase Renewable Energy Adoption:</w:t>
      </w:r>
    </w:p>
    <w:p>
      <w:pPr>
        <w:numPr>
          <w:ilvl w:val="1"/>
          <w:numId w:val="1019"/>
        </w:numPr>
        <w:pStyle w:val="Compact"/>
      </w:pPr>
      <w:r>
        <w:t xml:space="preserve">Further increase the percentage of renewable energy usage (nfrwwrtlwf) at the manufacturing facility and encourage suppliers to do the same.</w:t>
      </w:r>
    </w:p>
    <w:p>
      <w:pPr>
        <w:numPr>
          <w:ilvl w:val="1"/>
          <w:numId w:val="1019"/>
        </w:numPr>
        <w:pStyle w:val="Compact"/>
      </w:pPr>
      <w:r>
        <w:t xml:space="preserve">Consider purchasing high-quality energy attribute certificates (EACs) if direct renewable energy procurement is not fully achievable.</w:t>
      </w:r>
    </w:p>
    <w:p>
      <w:pPr>
        <w:numPr>
          <w:ilvl w:val="0"/>
          <w:numId w:val="1015"/>
        </w:numPr>
        <w:pStyle w:val="Compact"/>
      </w:pPr>
      <w:r>
        <w:rPr>
          <w:bCs/>
          <w:b/>
        </w:rPr>
        <w:t xml:space="preserve">Strengthen Circular Economy Initiatives:</w:t>
      </w:r>
    </w:p>
    <w:p>
      <w:pPr>
        <w:numPr>
          <w:ilvl w:val="1"/>
          <w:numId w:val="1020"/>
        </w:numPr>
        <w:pStyle w:val="Compact"/>
      </w:pPr>
      <w:r>
        <w:t xml:space="preserve">Expand and promote circular/take-back programs (lshivzyquw) to ensure a higher actual recycling rate and explore re-use or refurbishment opportunities for returned products.</w:t>
      </w:r>
    </w:p>
    <w:p>
      <w:pPr>
        <w:numPr>
          <w:ilvl w:val="1"/>
          <w:numId w:val="1020"/>
        </w:numPr>
        <w:pStyle w:val="Compact"/>
      </w:pPr>
      <w:r>
        <w:t xml:space="preserve">Design for disassembly and material recovery to maximize the effectiveness of end-of-life processes.</w:t>
      </w:r>
    </w:p>
    <w:p>
      <w:r>
        <w:pict>
          <v:rect style="width:0;height:1.5pt" o:hralign="center" o:hrstd="t" o:hr="t"/>
        </w:pict>
      </w:r>
    </w:p>
    <w:p>
      <w:pPr>
        <w:pStyle w:val="FirstParagraph"/>
      </w:pPr>
      <w:r>
        <w:t xml:space="preserve">Confidential - Internal Use Only | Page 1 of X</w:t>
      </w:r>
    </w:p>
    <w:p>
      <w:pPr>
        <w:pStyle w:val="BodyText"/>
      </w:pPr>
      <w:r>
        <w:t xml:space="preserve">© 2026 wgpiyffhmf. All rights reserved.</w:t>
      </w:r>
    </w:p>
    <w:bookmarkEnd w:id="44"/>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svhmtrlkol - wgpiyffhmf</dc:title>
  <dc:creator/>
  <dc:description>High-detail Product Carbon Footprint (PCF) analysis report for svhmtrlkol, adhering to GHG Protocol and 2026 LSR Update, conducted by Senior Sustainability Consultant soiynpqekf for wgpiyffhmf.</dc:description>
  <dc:language>en</dc:language>
  <cp:keywords/>
  <dcterms:created xsi:type="dcterms:W3CDTF">2026-07-15T11:43:15Z</dcterms:created>
  <dcterms:modified xsi:type="dcterms:W3CDTF">2026-07-15T11:43:15Z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