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Sustainable</w:t>
      </w:r>
      <w:r>
        <w:t xml:space="preserve"> </w:t>
      </w:r>
      <w:r>
        <w:t xml:space="preserve">Widget</w:t>
      </w:r>
      <w:r>
        <w:t xml:space="preserve"> </w:t>
      </w:r>
      <w:r>
        <w:t xml:space="preserve">X</w:t>
      </w:r>
      <w:r>
        <w:t xml:space="preserve"> </w:t>
      </w:r>
      <w:r>
        <w:t xml:space="preserve">(unwxhlxyeh)</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sustainable-widget-x-unwxhlxyeh"/>
    <w:p>
      <w:pPr>
        <w:pStyle w:val="Heading2"/>
      </w:pPr>
      <w:r>
        <w:t xml:space="preserve">Sustainable Widget X (unwxhlxyeh)</w:t>
      </w:r>
    </w:p>
    <w:p>
      <w:pPr>
        <w:pStyle w:val="FirstParagraph"/>
      </w:pPr>
      <w:r>
        <w:rPr>
          <w:bCs/>
          <w:b/>
        </w:rPr>
        <w:t xml:space="preserve">Company:</w:t>
      </w:r>
      <w:r>
        <w:t xml:space="preserve"> </w:t>
      </w:r>
      <w:r>
        <w:t xml:space="preserve">yepixkoypo</w:t>
      </w:r>
    </w:p>
    <w:p>
      <w:pPr>
        <w:pStyle w:val="BodyText"/>
      </w:pPr>
      <w:r>
        <w:rPr>
          <w:bCs/>
          <w:b/>
        </w:rPr>
        <w:t xml:space="preserve">Senior Sustainability Consultant:</w:t>
      </w:r>
      <w:r>
        <w:t xml:space="preserve"> </w:t>
      </w:r>
      <w:r>
        <w:t xml:space="preserve">qnenysimki</w:t>
      </w:r>
    </w:p>
    <w:p>
      <w:pPr>
        <w:pStyle w:val="BodyText"/>
      </w:pPr>
      <w:r>
        <w:rPr>
          <w:bCs/>
          <w:b/>
        </w:rPr>
        <w:t xml:space="preserve">Accounting Standard:</w:t>
      </w:r>
      <w:r>
        <w:t xml:space="preserve"> </w:t>
      </w:r>
      <w:r>
        <w:t xml:space="preserve">GHG Protocol</w:t>
      </w:r>
    </w:p>
    <w:p>
      <w:pPr>
        <w:pStyle w:val="BodyText"/>
      </w:pPr>
      <w:r>
        <w:rPr>
          <w:iCs/>
          <w:i/>
        </w:rPr>
        <w:t xml:space="preserve">This report is generated based on available data and industry standards. While every effort has been made to ensure accuracy, it serves as an estimate of the product\'s carbon footprint.</w:t>
      </w:r>
    </w:p>
    <w:bookmarkEnd w:id="20"/>
    <w:bookmarkEnd w:id="21"/>
    <w:bookmarkStart w:id="43"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June 4, 2026</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"Sustainable Widget X" (unwxhlxyeh), manufactured by yepixkoypo. The analysis was conducted by Senior Sustainability Consultant qnenysimki, adhering strictly to the GHG Protocol and incorporating the 2026 Land Sector and Removals (LSR) Standard. The functional unit for this study is 1.0 unit of the product. The total cradle-to-gate-plus-use-and-EoL carbon footprint for the unwxhlxyeh is calculated to be approximately 47.50 kg CO2e per functional unit, with the use phase being the most significant contributor.</w:t>
      </w:r>
    </w:p>
    <w:p>
      <w:r>
        <w:pict>
          <v:rect style="width:0;height:1.5pt" o:hralign="center" o:hrstd="t" o:hr="t"/>
        </w:pict>
      </w:r>
    </w:p>
    <w:bookmarkEnd w:id="22"/>
    <w:bookmarkStart w:id="24" w:name="define-scope"/>
    <w:p>
      <w:pPr>
        <w:pStyle w:val="Heading2"/>
      </w:pPr>
      <w:r>
        <w:t xml:space="preserve">1. Define Scope</w:t>
      </w:r>
    </w:p>
    <w:p>
      <w:pPr>
        <w:pStyle w:val="FirstParagraph"/>
      </w:pPr>
      <w:r>
        <w:t xml:space="preserve">This section outlines the foundational parameters for the Product Carbon Footprint (PCF) analysis of unwxhlxyeh.</w:t>
      </w:r>
    </w:p>
    <w:p>
      <w:pPr>
        <w:numPr>
          <w:ilvl w:val="0"/>
          <w:numId w:val="1001"/>
        </w:numPr>
        <w:pStyle w:val="Compact"/>
      </w:pPr>
      <w:r>
        <w:rPr>
          <w:bCs/>
          <w:b/>
        </w:rPr>
        <w:t xml:space="preserve">Functional Unit:</w:t>
      </w:r>
      <w:r>
        <w:t xml:space="preserve"> </w:t>
      </w:r>
      <w:r>
        <w:t xml:space="preserve">1.0 unit of unwxhlxyeh. This represents the reference unit to which all inputs and outputs are normalized.</w:t>
      </w:r>
    </w:p>
    <w:p>
      <w:pPr>
        <w:numPr>
          <w:ilvl w:val="0"/>
          <w:numId w:val="1001"/>
        </w:numPr>
        <w:pStyle w:val="Compact"/>
      </w:pPr>
      <w:r>
        <w:rPr>
          <w:bCs/>
          <w:b/>
        </w:rPr>
        <w:t xml:space="preserve">System Boundary:</w:t>
      </w:r>
      <w:r>
        <w:t xml:space="preserve"> </w:t>
      </w:r>
      <w:r>
        <w:t xml:space="preserve">The analysis employs a "factory_gate" system boundary for the production phase, extended to include downstream use and end-of-life phases, thus providing a comprehensive cradle-to-grave perspective. This includes raw material acquisition, manufacturing, transport to customer, customer use, and end-of-life treatment.</w:t>
      </w:r>
    </w:p>
    <w:p>
      <w:pPr>
        <w:numPr>
          <w:ilvl w:val="0"/>
          <w:numId w:val="1001"/>
        </w:numPr>
        <w:pStyle w:val="Compact"/>
      </w:pPr>
      <w:r>
        <w:rPr>
          <w:bCs/>
          <w:b/>
        </w:rPr>
        <w:t xml:space="preserve">Geographic Scope:</w:t>
      </w:r>
      <w:r>
        <w:t xml:space="preserve"> </w:t>
      </w:r>
      <w:r>
        <w:t xml:space="preserve">The final production country is China, with a specific focus on a Europe-focused supply chain for upstream activities. Downstream use is assumed to be a global average, and end-of-life is modeled based on general waste management practices.</w:t>
      </w:r>
    </w:p>
    <w:p>
      <w:pPr>
        <w:numPr>
          <w:ilvl w:val="0"/>
          <w:numId w:val="1001"/>
        </w:numPr>
        <w:pStyle w:val="Compact"/>
      </w:pPr>
      <w:r>
        <w:rPr>
          <w:bCs/>
          <w:b/>
        </w:rPr>
        <w:t xml:space="preserve">Accounting Standard:</w:t>
      </w:r>
      <w:r>
        <w:t xml:space="preserve"> </w:t>
      </w:r>
      <w:r>
        <w:t xml:space="preserve">The assessment strictly adheres to the</w:t>
      </w:r>
      <w:r>
        <w:t xml:space="preserve"> </w:t>
      </w:r>
      <w:hyperlink r:id="rId23">
        <w:r>
          <w:rPr>
            <w:rStyle w:val="Hyperlink"/>
          </w:rPr>
          <w:t xml:space="preserve">GHG Protocol Product Standard</w:t>
        </w:r>
      </w:hyperlink>
      <w:r>
        <w:t xml:space="preserve"> </w:t>
      </w:r>
      <w:r>
        <w:t xml:space="preserve">for calculating and reporting product life cycle greenhouse gas emissions. Emissions are categorized into Scope 1 (direct emissions from owned or controlled sources), Scope 2 (indirect emissions from the generation of purchased energy), and Scope 3 (all other indirect emissions that occur in the value chain).</w:t>
      </w:r>
    </w:p>
    <w:p>
      <w:pPr>
        <w:numPr>
          <w:ilvl w:val="0"/>
          <w:numId w:val="1001"/>
        </w:numPr>
        <w:pStyle w:val="Compact"/>
      </w:pPr>
      <w:r>
        <w:rPr>
          <w:bCs/>
          <w:b/>
        </w:rPr>
        <w:t xml:space="preserve">Allocation:</w:t>
      </w:r>
      <w:r>
        <w:t xml:space="preserve"> </w:t>
      </w:r>
      <w:r>
        <w:t xml:space="preserve">Where co-product or recycling situations arise, economic allocation methods are applied in accordance with GHG Protocol guidance.</w:t>
      </w:r>
    </w:p>
    <w:p>
      <w:r>
        <w:pict>
          <v:rect style="width:0;height:1.5pt" o:hralign="center" o:hrstd="t" o:hr="t"/>
        </w:pict>
      </w:r>
    </w:p>
    <w:bookmarkEnd w:id="24"/>
    <w:bookmarkStart w:id="30" w:name="map-lifecycle-3.-collect-data"/>
    <w:p>
      <w:pPr>
        <w:pStyle w:val="Heading2"/>
      </w:pPr>
      <w:r>
        <w:t xml:space="preserve">2. Map Lifecycle &amp; 3. Collect Data</w:t>
      </w:r>
    </w:p>
    <w:p>
      <w:pPr>
        <w:pStyle w:val="FirstParagraph"/>
      </w:pPr>
      <w:r>
        <w:t xml:space="preserve">This phase involves mapping the complete lifecycle of unwxhlxyeh and collecting specific primary and secondary data points across all identified stages. The analysis leverages a detailed Bill of Materials, specific logistics data, energy customization, and end-of-life scenarios.</w:t>
      </w:r>
    </w:p>
    <w:bookmarkStart w:id="25" w:name="X44eeca449d9bd92ba3ed8a1c18489c67c2288c5"/>
    <w:p>
      <w:pPr>
        <w:pStyle w:val="Heading3"/>
      </w:pPr>
      <w:r>
        <w:t xml:space="preserve">Detailed Bill of Materials (BOM) - xvvsptvx</w:t>
      </w:r>
    </w:p>
    <w:p>
      <w:pPr>
        <w:pStyle w:val="FirstParagraph"/>
      </w:pPr>
      <w:r>
        <w:t xml:space="preserve">The following table provides a high-accuracy breakdown of materials and their associated carbon impact for one functional unit of unwxhlxyeh, based on the provided BOM data. The "Total Carbon (kg CO2e)" column represents the pre-calculated emissions for each material item at its point of entry into the manufacturing process, contributing to Scope 3 (Upstream) emissions.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w:t>
            </w:r>
          </w:p>
        </w:tc>
      </w:tr>
      <w:tr>
        <w:tc>
          <w:tcPr/>
          <w:p>
            <w:pPr>
              <w:pStyle w:val="Compact"/>
              <w:jc w:val="left"/>
            </w:pPr>
            <w:r>
              <w:t xml:space="preserve">M002</w:t>
            </w:r>
          </w:p>
        </w:tc>
        <w:tc>
          <w:tcPr/>
          <w:p>
            <w:pPr>
              <w:pStyle w:val="Compact"/>
              <w:jc w:val="left"/>
            </w:pPr>
            <w:r>
              <w:t xml:space="preserve">Recycled ABS Plastic</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2.0</w:t>
            </w:r>
          </w:p>
        </w:tc>
        <w:tc>
          <w:tcPr/>
          <w:p>
            <w:pPr>
              <w:pStyle w:val="Compact"/>
              <w:jc w:val="left"/>
            </w:pPr>
            <w:r>
              <w:t xml:space="preserve">0.6</w:t>
            </w:r>
          </w:p>
        </w:tc>
      </w:tr>
      <w:tr>
        <w:tc>
          <w:tcPr/>
          <w:p>
            <w:pPr>
              <w:pStyle w:val="Compact"/>
              <w:jc w:val="left"/>
            </w:pPr>
            <w:r>
              <w:t xml:space="preserve">M003</w:t>
            </w:r>
          </w:p>
        </w:tc>
        <w:tc>
          <w:tcPr/>
          <w:p>
            <w:pPr>
              <w:pStyle w:val="Compact"/>
              <w:jc w:val="left"/>
            </w:pPr>
            <w:r>
              <w:t xml:space="preserve">Silicon Chip</w:t>
            </w:r>
          </w:p>
        </w:tc>
        <w:tc>
          <w:tcPr/>
          <w:p>
            <w:pPr>
              <w:pStyle w:val="Compact"/>
              <w:jc w:val="left"/>
            </w:pPr>
            <w:r>
              <w:t xml:space="preserve">Electronics</w:t>
            </w:r>
          </w:p>
        </w:tc>
        <w:tc>
          <w:tcPr/>
          <w:p>
            <w:pPr>
              <w:pStyle w:val="Compact"/>
              <w:jc w:val="left"/>
            </w:pPr>
            <w:r>
              <w:t xml:space="preserve">Semiconductor Mfg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25.0</w:t>
            </w:r>
          </w:p>
        </w:tc>
        <w:tc>
          <w:tcPr/>
          <w:p>
            <w:pPr>
              <w:pStyle w:val="Compact"/>
              <w:jc w:val="left"/>
            </w:pPr>
            <w:r>
              <w:t xml:space="preserve">1.25</w:t>
            </w:r>
          </w:p>
        </w:tc>
      </w:tr>
      <w:tr>
        <w:tc>
          <w:tcPr/>
          <w:p>
            <w:pPr>
              <w:pStyle w:val="Compact"/>
              <w:jc w:val="left"/>
            </w:pPr>
            <w:r>
              <w:t xml:space="preserve">M004</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5.0</w:t>
            </w:r>
          </w:p>
        </w:tc>
        <w:tc>
          <w:tcPr/>
          <w:p>
            <w:pPr>
              <w:pStyle w:val="Compact"/>
              <w:jc w:val="left"/>
            </w:pPr>
            <w:r>
              <w:t xml:space="preserve">0.5</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Pulping &amp; Forming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1.5</w:t>
            </w:r>
          </w:p>
        </w:tc>
        <w:tc>
          <w:tcPr/>
          <w:p>
            <w:pPr>
              <w:pStyle w:val="Compact"/>
              <w:jc w:val="left"/>
            </w:pPr>
            <w:r>
              <w:t xml:space="preserve">0.3</w:t>
            </w:r>
          </w:p>
        </w:tc>
      </w:tr>
      <w:tr>
        <w:tc>
          <w:tcPr/>
          <w:p>
            <w:pPr>
              <w:pStyle w:val="Compact"/>
              <w:jc w:val="left"/>
            </w:pPr>
            <w:r>
              <w:t xml:space="preserve">M006</w:t>
            </w:r>
          </w:p>
        </w:tc>
        <w:tc>
          <w:tcPr/>
          <w:p>
            <w:pPr>
              <w:pStyle w:val="Compact"/>
              <w:jc w:val="left"/>
            </w:pPr>
            <w:r>
              <w:t xml:space="preserve">Label Ink</w:t>
            </w:r>
          </w:p>
        </w:tc>
        <w:tc>
          <w:tcPr/>
          <w:p>
            <w:pPr>
              <w:pStyle w:val="Compact"/>
              <w:jc w:val="left"/>
            </w:pPr>
            <w:r>
              <w:t xml:space="preserve">Chemicals</w:t>
            </w:r>
          </w:p>
        </w:tc>
        <w:tc>
          <w:tcPr/>
          <w:p>
            <w:pPr>
              <w:pStyle w:val="Compact"/>
              <w:jc w:val="left"/>
            </w:pPr>
            <w:r>
              <w:t xml:space="preserve">Printing</w:t>
            </w:r>
          </w:p>
        </w:tc>
        <w:tc>
          <w:tcPr/>
          <w:p>
            <w:pPr>
              <w:pStyle w:val="Compact"/>
              <w:jc w:val="left"/>
            </w:pPr>
            <w:r>
              <w:t xml:space="preserve">0.001</w:t>
            </w:r>
          </w:p>
        </w:tc>
        <w:tc>
          <w:tcPr/>
          <w:p>
            <w:pPr>
              <w:pStyle w:val="Compact"/>
              <w:jc w:val="left"/>
            </w:pPr>
            <w:r>
              <w:t xml:space="preserve">kg</w:t>
            </w:r>
          </w:p>
        </w:tc>
        <w:tc>
          <w:tcPr/>
          <w:p>
            <w:pPr>
              <w:pStyle w:val="Compact"/>
              <w:jc w:val="left"/>
            </w:pPr>
            <w:r>
              <w:t xml:space="preserve">100.0</w:t>
            </w:r>
          </w:p>
        </w:tc>
        <w:tc>
          <w:tcPr/>
          <w:p>
            <w:pPr>
              <w:pStyle w:val="Compact"/>
              <w:jc w:val="left"/>
            </w:pPr>
            <w:r>
              <w:t xml:space="preserve">0.1</w:t>
            </w:r>
          </w:p>
        </w:tc>
      </w:tr>
      <w:tr>
        <w:tc>
          <w:tcPr>
            <w:gridSpan w:val="7"/>
          </w:tcPr>
          <w:p>
            <w:pPr>
              <w:pStyle w:val="Compact"/>
              <w:jc w:val="right"/>
            </w:pPr>
            <w:r>
              <w:rPr>
                <w:bCs/>
                <w:b/>
              </w:rPr>
              <w:t xml:space="preserve">Total Material Emissions:</w:t>
            </w:r>
          </w:p>
        </w:tc>
        <w:tc>
          <w:tcPr/>
          <w:p>
            <w:pPr>
              <w:pStyle w:val="Compact"/>
              <w:jc w:val="left"/>
            </w:pPr>
            <w:r>
              <w:rPr>
                <w:bCs/>
                <w:b/>
              </w:rPr>
              <w:t xml:space="preserve">6.25 kg CO2e</w:t>
            </w:r>
          </w:p>
        </w:tc>
      </w:tr>
    </w:tbl>
    <w:bookmarkEnd w:id="25"/>
    <w:bookmarkStart w:id="26" w:name="energy-inputs-production-phase"/>
    <w:p>
      <w:pPr>
        <w:pStyle w:val="Heading3"/>
      </w:pPr>
      <w:r>
        <w:t xml:space="preserve">Energy Inputs (Production Phase)</w:t>
      </w:r>
    </w:p>
    <w:p>
      <w:pPr>
        <w:pStyle w:val="FirstParagraph"/>
      </w:pPr>
      <w:r>
        <w:t xml:space="preserve">The manufacturing process at the production facility in China incorporates specific energy parameters:</w:t>
      </w:r>
    </w:p>
    <w:p>
      <w:pPr>
        <w:numPr>
          <w:ilvl w:val="0"/>
          <w:numId w:val="1002"/>
        </w:numPr>
        <w:pStyle w:val="Compact"/>
      </w:pPr>
      <w:r>
        <w:rPr>
          <w:bCs/>
          <w:b/>
        </w:rPr>
        <w:t xml:space="preserve">Renewable Energy Usage (mtqkgzwzry):</w:t>
      </w:r>
      <w:r>
        <w:t xml:space="preserve"> </w:t>
      </w:r>
      <w:r>
        <w:t xml:space="preserve">75% of the electricity consumed in the production facility is sourced from renewable energy.</w:t>
      </w:r>
    </w:p>
    <w:p>
      <w:pPr>
        <w:numPr>
          <w:ilvl w:val="0"/>
          <w:numId w:val="1002"/>
        </w:numPr>
        <w:pStyle w:val="Compact"/>
      </w:pPr>
      <w:r>
        <w:rPr>
          <w:bCs/>
          <w:b/>
        </w:rPr>
        <w:t xml:space="preserve">Energy Intensity (yhhinhlsrx):</w:t>
      </w:r>
      <w:r>
        <w:t xml:space="preserve"> </w:t>
      </w:r>
      <w:r>
        <w:t xml:space="preserve">The production of one unit of unwxhlxyeh requires 0.8 kWh of electricity.</w:t>
      </w:r>
    </w:p>
    <w:p>
      <w:pPr>
        <w:numPr>
          <w:ilvl w:val="0"/>
          <w:numId w:val="1002"/>
        </w:numPr>
        <w:pStyle w:val="Compact"/>
      </w:pPr>
      <w:r>
        <w:rPr>
          <w:bCs/>
          <w:b/>
        </w:rPr>
        <w:t xml:space="preserve">Grid Electricity Emission Factor (Illustrative):</w:t>
      </w:r>
      <w:r>
        <w:t xml:space="preserve"> </w:t>
      </w:r>
      <w:r>
        <w:t xml:space="preserve">A typical grid emission factor for China is estimated at 0.6 kg CO2e/kWh (source: illustrative, based on industry averages like IEA or Ecoinvent data for non-renewable electricity mix).</w:t>
      </w:r>
    </w:p>
    <w:bookmarkEnd w:id="26"/>
    <w:bookmarkStart w:id="27" w:name="logistics-data-supply-chain-analysis"/>
    <w:p>
      <w:pPr>
        <w:pStyle w:val="Heading3"/>
      </w:pPr>
      <w:r>
        <w:t xml:space="preserve">Logistics Data (Supply Chain Analysis)</w:t>
      </w:r>
    </w:p>
    <w:p>
      <w:pPr>
        <w:pStyle w:val="FirstParagraph"/>
      </w:pPr>
      <w:r>
        <w:t xml:space="preserve">Transport emissions are calculated based on the specified modes and distances:</w:t>
      </w:r>
    </w:p>
    <w:p>
      <w:pPr>
        <w:numPr>
          <w:ilvl w:val="0"/>
          <w:numId w:val="1003"/>
        </w:numPr>
        <w:pStyle w:val="Compact"/>
      </w:pPr>
      <w:r>
        <w:rPr>
          <w:bCs/>
          <w:b/>
        </w:rPr>
        <w:t xml:space="preserve">Inbound/Inter-facility Transport (Supply Chain Focus: Europe to China for production):</w:t>
      </w:r>
    </w:p>
    <w:p>
      <w:pPr>
        <w:numPr>
          <w:ilvl w:val="1"/>
          <w:numId w:val="1004"/>
        </w:numPr>
        <w:pStyle w:val="Compact"/>
      </w:pPr>
      <w:r>
        <w:rPr>
          <w:bCs/>
          <w:b/>
        </w:rPr>
        <w:t xml:space="preserve">Transport Mode (Select Mode):</w:t>
      </w:r>
      <w:r>
        <w:t xml:space="preserve"> </w:t>
      </w:r>
      <w:r>
        <w:t xml:space="preserve">Road Freight (Heavy Goods Vehicle - HGV)</w:t>
      </w:r>
    </w:p>
    <w:p>
      <w:pPr>
        <w:numPr>
          <w:ilvl w:val="1"/>
          <w:numId w:val="1004"/>
        </w:numPr>
        <w:pStyle w:val="Compact"/>
      </w:pPr>
      <w:r>
        <w:rPr>
          <w:bCs/>
          <w:b/>
        </w:rPr>
        <w:t xml:space="preserve">Transport Distance (qwvtzjuquo):</w:t>
      </w:r>
      <w:r>
        <w:t xml:space="preserve"> </w:t>
      </w:r>
      <w:r>
        <w:t xml:space="preserve">2500 km</w:t>
      </w:r>
    </w:p>
    <w:p>
      <w:pPr>
        <w:numPr>
          <w:ilvl w:val="1"/>
          <w:numId w:val="1004"/>
        </w:numPr>
        <w:pStyle w:val="Compact"/>
      </w:pPr>
      <w:r>
        <w:rPr>
          <w:bCs/>
          <w:b/>
        </w:rPr>
        <w:t xml:space="preserve">Assumed Total Product/Component Weight per Unit:</w:t>
      </w:r>
      <w:r>
        <w:t xml:space="preserve"> </w:t>
      </w:r>
      <w:r>
        <w:t xml:space="preserve">1.151 kg (sum of BOM component weights).</w:t>
      </w:r>
    </w:p>
    <w:p>
      <w:pPr>
        <w:numPr>
          <w:ilvl w:val="1"/>
          <w:numId w:val="1004"/>
        </w:numPr>
        <w:pStyle w:val="Compact"/>
      </w:pPr>
      <w:r>
        <w:rPr>
          <w:bCs/>
          <w:b/>
        </w:rPr>
        <w:t xml:space="preserve">Illustrative Emission Factor for Road Freight (HGV):</w:t>
      </w:r>
      <w:r>
        <w:t xml:space="preserve"> </w:t>
      </w:r>
      <w:r>
        <w:t xml:space="preserve">0.0001 kg CO2e/kg·km (0.1 kg CO2e/tonne·km).</w:t>
      </w:r>
    </w:p>
    <w:p>
      <w:pPr>
        <w:numPr>
          <w:ilvl w:val="0"/>
          <w:numId w:val="1003"/>
        </w:numPr>
        <w:pStyle w:val="Compact"/>
      </w:pPr>
      <w:r>
        <w:rPr>
          <w:bCs/>
          <w:b/>
        </w:rPr>
        <w:t xml:space="preserve">Last-Mile Delivery Channel (Delivery Type):</w:t>
      </w:r>
    </w:p>
    <w:p>
      <w:pPr>
        <w:numPr>
          <w:ilvl w:val="1"/>
          <w:numId w:val="1005"/>
        </w:numPr>
        <w:pStyle w:val="Compact"/>
      </w:pPr>
      <w:r>
        <w:rPr>
          <w:bCs/>
          <w:b/>
        </w:rPr>
        <w:t xml:space="preserve">Delivery Type:</w:t>
      </w:r>
      <w:r>
        <w:t xml:space="preserve"> </w:t>
      </w:r>
      <w:r>
        <w:t xml:space="preserve">Parcel Delivery (Van)</w:t>
      </w:r>
    </w:p>
    <w:p>
      <w:pPr>
        <w:numPr>
          <w:ilvl w:val="1"/>
          <w:numId w:val="1005"/>
        </w:numPr>
        <w:pStyle w:val="Compact"/>
      </w:pPr>
      <w:r>
        <w:rPr>
          <w:bCs/>
          <w:b/>
        </w:rPr>
        <w:t xml:space="preserve">Illustrative Emission Factor for Parcel Delivery (Van):</w:t>
      </w:r>
      <w:r>
        <w:t xml:space="preserve"> </w:t>
      </w:r>
      <w:r>
        <w:t xml:space="preserve">0.5 kg CO2e/parcel (assumed for typical last-mile delivery of a single unit).</w:t>
      </w:r>
    </w:p>
    <w:bookmarkEnd w:id="27"/>
    <w:bookmarkStart w:id="28" w:name="use-phase-data-downstream"/>
    <w:p>
      <w:pPr>
        <w:pStyle w:val="Heading3"/>
      </w:pPr>
      <w:r>
        <w:t xml:space="preserve">Use Phase Data (Downstream)</w:t>
      </w:r>
    </w:p>
    <w:p>
      <w:pPr>
        <w:pStyle w:val="FirstParagraph"/>
      </w:pPr>
      <w:r>
        <w:t xml:space="preserve">The emissions generated during the product\'s lifespan are critical for a comprehensive PCF:</w:t>
      </w:r>
    </w:p>
    <w:p>
      <w:pPr>
        <w:numPr>
          <w:ilvl w:val="0"/>
          <w:numId w:val="1006"/>
        </w:numPr>
        <w:pStyle w:val="Compact"/>
      </w:pPr>
      <w:r>
        <w:rPr>
          <w:bCs/>
          <w:b/>
        </w:rPr>
        <w:t xml:space="preserve">Product Lifespan (serkomdkst):</w:t>
      </w:r>
      <w:r>
        <w:t xml:space="preserve"> </w:t>
      </w:r>
      <w:r>
        <w:t xml:space="preserve">5 years</w:t>
      </w:r>
    </w:p>
    <w:p>
      <w:pPr>
        <w:numPr>
          <w:ilvl w:val="0"/>
          <w:numId w:val="1006"/>
        </w:numPr>
        <w:pStyle w:val="Compact"/>
      </w:pPr>
      <w:r>
        <w:rPr>
          <w:bCs/>
          <w:b/>
        </w:rPr>
        <w:t xml:space="preserve">Energy Consumption in Use (tjwvhhugdi):</w:t>
      </w:r>
      <w:r>
        <w:t xml:space="preserve"> </w:t>
      </w:r>
      <w:r>
        <w:t xml:space="preserve">20 kWh per year</w:t>
      </w:r>
    </w:p>
    <w:p>
      <w:pPr>
        <w:numPr>
          <w:ilvl w:val="0"/>
          <w:numId w:val="1006"/>
        </w:numPr>
        <w:pStyle w:val="Compact"/>
      </w:pPr>
      <w:r>
        <w:rPr>
          <w:bCs/>
          <w:b/>
        </w:rPr>
        <w:t xml:space="preserve">Illustrative Grid Electricity Emission Factor (Global Average for Use Phase):</w:t>
      </w:r>
      <w:r>
        <w:t xml:space="preserve"> </w:t>
      </w:r>
      <w:r>
        <w:t xml:space="preserve">0.4 kg CO2e/kWh (reflecting a mix of global electricity sources during consumer use).</w:t>
      </w:r>
    </w:p>
    <w:bookmarkEnd w:id="28"/>
    <w:bookmarkStart w:id="29" w:name="end-of-life-eol-scenarios-downstream"/>
    <w:p>
      <w:pPr>
        <w:pStyle w:val="Heading3"/>
      </w:pPr>
      <w:r>
        <w:t xml:space="preserve">End-of-Life (EoL) Scenarios (Downstream)</w:t>
      </w:r>
    </w:p>
    <w:p>
      <w:pPr>
        <w:pStyle w:val="FirstParagraph"/>
      </w:pPr>
      <w:r>
        <w:t xml:space="preserve">The impact of the product at the end of its life is factored in, considering circular economy principles:</w:t>
      </w:r>
    </w:p>
    <w:p>
      <w:pPr>
        <w:numPr>
          <w:ilvl w:val="0"/>
          <w:numId w:val="1007"/>
        </w:numPr>
        <w:pStyle w:val="Compact"/>
      </w:pPr>
      <w:r>
        <w:rPr>
          <w:bCs/>
          <w:b/>
        </w:rPr>
        <w:t xml:space="preserve">Recyclability Percentage (yzmvkopreq):</w:t>
      </w:r>
      <w:r>
        <w:t xml:space="preserve"> </w:t>
      </w:r>
      <w:r>
        <w:t xml:space="preserve">80% of the product materials are recyclable.</w:t>
      </w:r>
    </w:p>
    <w:p>
      <w:pPr>
        <w:numPr>
          <w:ilvl w:val="0"/>
          <w:numId w:val="1007"/>
        </w:numPr>
        <w:pStyle w:val="Compact"/>
      </w:pPr>
      <w:r>
        <w:rPr>
          <w:bCs/>
          <w:b/>
        </w:rPr>
        <w:t xml:space="preserve">Circular/Take-back Programs (fsqgzxmtgm):</w:t>
      </w:r>
      <w:r>
        <w:t xml:space="preserve"> </w:t>
      </w:r>
      <w:r>
        <w:t xml:space="preserve">Yes, yepixkoypo operates circular/take-back programs, facilitating the high recyclability rate.</w:t>
      </w:r>
    </w:p>
    <w:p>
      <w:pPr>
        <w:numPr>
          <w:ilvl w:val="0"/>
          <w:numId w:val="1007"/>
        </w:numPr>
        <w:pStyle w:val="Compact"/>
      </w:pPr>
      <w:r>
        <w:rPr>
          <w:bCs/>
          <w:b/>
        </w:rPr>
        <w:t xml:space="preserve">Illustrative Emission Factor for Landfill (Mixed Waste):</w:t>
      </w:r>
      <w:r>
        <w:t xml:space="preserve"> </w:t>
      </w:r>
      <w:r>
        <w:t xml:space="preserve">1.5 kg CO2e/kg for non-recycled waste.</w:t>
      </w:r>
    </w:p>
    <w:p>
      <w:r>
        <w:pict>
          <v:rect style="width:0;height:1.5pt" o:hralign="center" o:hrstd="t" o:hr="t"/>
        </w:pict>
      </w:r>
    </w:p>
    <w:bookmarkEnd w:id="29"/>
    <w:bookmarkEnd w:id="30"/>
    <w:bookmarkStart w:id="38" w:name="calculate-emissions"/>
    <w:p>
      <w:pPr>
        <w:pStyle w:val="Heading2"/>
      </w:pPr>
      <w:r>
        <w:t xml:space="preserve">4. Calculate Emissions</w:t>
      </w:r>
    </w:p>
    <w:p>
      <w:pPr>
        <w:pStyle w:val="FirstParagraph"/>
      </w:pPr>
      <w:r>
        <w:t xml:space="preserve">Emissions are calculated for each life cycle stage by multiplying activity data by appropriate emission factors, categorized according to the GHG Protocol. Industry-standard emission factors (e.g., from Ecoinvent/DEFRA equivalents) are used as illustrative values in this analysis.</w:t>
      </w:r>
    </w:p>
    <w:bookmarkStart w:id="31" w:name="scope-1-direct-emissions"/>
    <w:p>
      <w:pPr>
        <w:pStyle w:val="Heading3"/>
      </w:pPr>
      <w:r>
        <w:t xml:space="preserve">Scope 1: Direct Emissions</w:t>
      </w:r>
    </w:p>
    <w:p>
      <w:pPr>
        <w:pStyle w:val="FirstParagraph"/>
      </w:pPr>
      <w:r>
        <w:t xml:space="preserve">No significant direct (Scope 1) emissions are explicitly identified or provided for the product manufacturing process in the given parameters. It is assumed that direct fuel combustion at the factory gate is either negligible or included within the broader energy intensity data and associated emission factors for purchased electricity. For a product-specific PCF, Scope 1 is often less dominant unless direct process emissions (e.g., from chemical reactions) are involved, which are not specified here.</w:t>
      </w:r>
    </w:p>
    <w:bookmarkEnd w:id="31"/>
    <w:bookmarkStart w:id="32" w:name="X158095f9350ac49aa5904e2590d8a9baedd908f"/>
    <w:p>
      <w:pPr>
        <w:pStyle w:val="Heading3"/>
      </w:pPr>
      <w:r>
        <w:t xml:space="preserve">Scope 2: Purchased Energy Emissions (Production Phase)</w:t>
      </w:r>
    </w:p>
    <w:p>
      <w:pPr>
        <w:pStyle w:val="FirstParagraph"/>
      </w:pPr>
      <w:r>
        <w:t xml:space="preserve">Emissions from purchased electricity for manufacturing are calculated:</w:t>
      </w:r>
    </w:p>
    <w:p>
      <w:pPr>
        <w:numPr>
          <w:ilvl w:val="0"/>
          <w:numId w:val="1008"/>
        </w:numPr>
        <w:pStyle w:val="Compact"/>
      </w:pPr>
      <w:r>
        <w:t xml:space="preserve">Total Energy Intensity: 0.8 kWh/unit</w:t>
      </w:r>
    </w:p>
    <w:p>
      <w:pPr>
        <w:numPr>
          <w:ilvl w:val="0"/>
          <w:numId w:val="1008"/>
        </w:numPr>
        <w:pStyle w:val="Compact"/>
      </w:pPr>
      <w:r>
        <w:t xml:space="preserve">Renewable Energy Usage: 75%</w:t>
      </w:r>
    </w:p>
    <w:p>
      <w:pPr>
        <w:numPr>
          <w:ilvl w:val="0"/>
          <w:numId w:val="1008"/>
        </w:numPr>
        <w:pStyle w:val="Compact"/>
      </w:pPr>
      <w:r>
        <w:t xml:space="preserve">Non-Renewable Energy Usage: 100% - 75% = 25%</w:t>
      </w:r>
    </w:p>
    <w:p>
      <w:pPr>
        <w:numPr>
          <w:ilvl w:val="0"/>
          <w:numId w:val="1008"/>
        </w:numPr>
        <w:pStyle w:val="Compact"/>
      </w:pPr>
      <w:r>
        <w:t xml:space="preserve">Electricity from non-renewable sources: 0.8 kWh/unit * 0.25 = 0.2 kWh/unit</w:t>
      </w:r>
    </w:p>
    <w:p>
      <w:pPr>
        <w:numPr>
          <w:ilvl w:val="0"/>
          <w:numId w:val="1008"/>
        </w:numPr>
        <w:pStyle w:val="Compact"/>
      </w:pPr>
      <w:r>
        <w:t xml:space="preserve">Grid Emission Factor (China, illustrative): 0.6 kg CO2e/kWh</w:t>
      </w:r>
    </w:p>
    <w:p>
      <w:pPr>
        <w:numPr>
          <w:ilvl w:val="0"/>
          <w:numId w:val="1008"/>
        </w:numPr>
        <w:pStyle w:val="Compact"/>
      </w:pPr>
      <w:r>
        <w:rPr>
          <w:bCs/>
          <w:b/>
        </w:rPr>
        <w:t xml:space="preserve">Scope 2 Emissions:</w:t>
      </w:r>
      <w:r>
        <w:t xml:space="preserve"> </w:t>
      </w:r>
      <w:r>
        <w:t xml:space="preserve">0.2 kWh/unit * 0.6 kg CO2e/kWh =</w:t>
      </w:r>
      <w:r>
        <w:t xml:space="preserve"> </w:t>
      </w:r>
      <w:r>
        <w:rPr>
          <w:bCs/>
          <w:b/>
        </w:rPr>
        <w:t xml:space="preserve">0.12 kg CO2e/unit</w:t>
      </w:r>
    </w:p>
    <w:bookmarkEnd w:id="32"/>
    <w:bookmarkStart w:id="35" w:name="X587318600d1abb6b2ca9944db25f8225e73de31"/>
    <w:p>
      <w:pPr>
        <w:pStyle w:val="Heading3"/>
      </w:pPr>
      <w:r>
        <w:t xml:space="preserve">Scope 3: Value Chain Emissions (Upstream &amp; Downstream)</w:t>
      </w:r>
    </w:p>
    <w:p>
      <w:pPr>
        <w:pStyle w:val="FirstParagraph"/>
      </w:pPr>
      <w:r>
        <w:t xml:space="preserve">This category encompasses the majority of the product\'s footprint, ensuring at least 95% coverage as per 2026 GHG Protocol requirements.</w:t>
      </w:r>
    </w:p>
    <w:bookmarkStart w:id="33" w:name="scope-3---upstream-emissions"/>
    <w:p>
      <w:pPr>
        <w:pStyle w:val="Heading4"/>
      </w:pPr>
      <w:r>
        <w:t xml:space="preserve">Scope 3 - Upstream Emissions</w:t>
      </w:r>
    </w:p>
    <w:p>
      <w:pPr>
        <w:pStyle w:val="FirstParagraph"/>
      </w:pPr>
      <w:r>
        <w:rPr>
          <w:bCs/>
          <w:b/>
        </w:rPr>
        <w:t xml:space="preserve">1. Materials Acquisition &amp; Pre-processing (Cradle-to-Gate of components):</w:t>
      </w:r>
    </w:p>
    <w:p>
      <w:pPr>
        <w:numPr>
          <w:ilvl w:val="0"/>
          <w:numId w:val="1009"/>
        </w:numPr>
        <w:pStyle w:val="Compact"/>
      </w:pPr>
      <w:r>
        <w:t xml:space="preserve">Total Material Emissions (from BOM):</w:t>
      </w:r>
      <w:r>
        <w:t xml:space="preserve"> </w:t>
      </w:r>
      <w:r>
        <w:rPr>
          <w:bCs/>
          <w:b/>
        </w:rPr>
        <w:t xml:space="preserve">6.25 kg CO2e/unit</w:t>
      </w:r>
      <w:r>
        <w:t xml:space="preserve"> </w:t>
      </w:r>
      <w:r>
        <w:t xml:space="preserve">(Sum of "Total Carbon (kg CO2e)" column from the BOM table).</w:t>
      </w:r>
    </w:p>
    <w:p>
      <w:pPr>
        <w:pStyle w:val="FirstParagraph"/>
      </w:pPr>
      <w:r>
        <w:rPr>
          <w:bCs/>
          <w:b/>
        </w:rPr>
        <w:t xml:space="preserve">2. Upstream Transportation &amp; Distribution:</w:t>
      </w:r>
    </w:p>
    <w:p>
      <w:pPr>
        <w:numPr>
          <w:ilvl w:val="0"/>
          <w:numId w:val="1010"/>
        </w:numPr>
        <w:pStyle w:val="Compact"/>
      </w:pPr>
      <w:r>
        <w:t xml:space="preserve">Inbound/Inter-facility Transport (Europe to China):</w:t>
      </w:r>
    </w:p>
    <w:p>
      <w:pPr>
        <w:numPr>
          <w:ilvl w:val="1"/>
          <w:numId w:val="1011"/>
        </w:numPr>
        <w:pStyle w:val="Compact"/>
      </w:pPr>
      <w:r>
        <w:t xml:space="preserve">Component Weight: 1.151 kg/unit</w:t>
      </w:r>
    </w:p>
    <w:p>
      <w:pPr>
        <w:numPr>
          <w:ilvl w:val="1"/>
          <w:numId w:val="1011"/>
        </w:numPr>
        <w:pStyle w:val="Compact"/>
      </w:pPr>
      <w:r>
        <w:t xml:space="preserve">Distance: 2500 km</w:t>
      </w:r>
    </w:p>
    <w:p>
      <w:pPr>
        <w:numPr>
          <w:ilvl w:val="1"/>
          <w:numId w:val="1011"/>
        </w:numPr>
        <w:pStyle w:val="Compact"/>
      </w:pPr>
      <w:r>
        <w:t xml:space="preserve">Emission Factor (HGV, illustrative): 0.0001 kg CO2e/kg·km</w:t>
      </w:r>
    </w:p>
    <w:p>
      <w:pPr>
        <w:numPr>
          <w:ilvl w:val="1"/>
          <w:numId w:val="1011"/>
        </w:numPr>
        <w:pStyle w:val="Compact"/>
      </w:pPr>
      <w:r>
        <w:t xml:space="preserve">Calculation: 1.151 kg * 2500 km * 0.0001 kg CO2e/kg·km =</w:t>
      </w:r>
      <w:r>
        <w:t xml:space="preserve"> </w:t>
      </w:r>
      <w:r>
        <w:rPr>
          <w:bCs/>
          <w:b/>
        </w:rPr>
        <w:t xml:space="preserve">0.28775 kg CO2e/unit</w:t>
      </w:r>
    </w:p>
    <w:bookmarkEnd w:id="33"/>
    <w:bookmarkStart w:id="34" w:name="scope-3---downstream-emissions"/>
    <w:p>
      <w:pPr>
        <w:pStyle w:val="Heading4"/>
      </w:pPr>
      <w:r>
        <w:t xml:space="preserve">Scope 3 - Downstream Emissions</w:t>
      </w:r>
    </w:p>
    <w:p>
      <w:pPr>
        <w:pStyle w:val="FirstParagraph"/>
      </w:pPr>
      <w:r>
        <w:rPr>
          <w:bCs/>
          <w:b/>
        </w:rPr>
        <w:t xml:space="preserve">1. Downstream Transportation &amp; Distribution (Last-Mile):</w:t>
      </w:r>
    </w:p>
    <w:p>
      <w:pPr>
        <w:numPr>
          <w:ilvl w:val="0"/>
          <w:numId w:val="1012"/>
        </w:numPr>
        <w:pStyle w:val="Compact"/>
      </w:pPr>
      <w:r>
        <w:t xml:space="preserve">Last-Mile Delivery (Parcel Van):</w:t>
      </w:r>
    </w:p>
    <w:p>
      <w:pPr>
        <w:numPr>
          <w:ilvl w:val="1"/>
          <w:numId w:val="1013"/>
        </w:numPr>
        <w:pStyle w:val="Compact"/>
      </w:pPr>
      <w:r>
        <w:t xml:space="preserve">Emission Factor (illustrative): 0.5 kg CO2e/parcel</w:t>
      </w:r>
    </w:p>
    <w:p>
      <w:pPr>
        <w:numPr>
          <w:ilvl w:val="1"/>
          <w:numId w:val="1013"/>
        </w:numPr>
        <w:pStyle w:val="Compact"/>
      </w:pPr>
      <w:r>
        <w:t xml:space="preserve">Calculation:</w:t>
      </w:r>
      <w:r>
        <w:t xml:space="preserve"> </w:t>
      </w:r>
      <w:r>
        <w:rPr>
          <w:bCs/>
          <w:b/>
        </w:rPr>
        <w:t xml:space="preserve">0.5 kg CO2e/unit</w:t>
      </w:r>
    </w:p>
    <w:p>
      <w:pPr>
        <w:pStyle w:val="FirstParagraph"/>
      </w:pPr>
      <w:r>
        <w:rPr>
          <w:bCs/>
          <w:b/>
        </w:rPr>
        <w:t xml:space="preserve">2. Use Phase Emissions:</w:t>
      </w:r>
    </w:p>
    <w:p>
      <w:pPr>
        <w:numPr>
          <w:ilvl w:val="0"/>
          <w:numId w:val="1014"/>
        </w:numPr>
        <w:pStyle w:val="Compact"/>
      </w:pPr>
      <w:r>
        <w:t xml:space="preserve">Product Lifespan: 5 years</w:t>
      </w:r>
    </w:p>
    <w:p>
      <w:pPr>
        <w:numPr>
          <w:ilvl w:val="0"/>
          <w:numId w:val="1014"/>
        </w:numPr>
        <w:pStyle w:val="Compact"/>
      </w:pPr>
      <w:r>
        <w:t xml:space="preserve">Annual Energy Consumption in Use: 20 kWh/year</w:t>
      </w:r>
    </w:p>
    <w:p>
      <w:pPr>
        <w:numPr>
          <w:ilvl w:val="0"/>
          <w:numId w:val="1014"/>
        </w:numPr>
        <w:pStyle w:val="Compact"/>
      </w:pPr>
      <w:r>
        <w:t xml:space="preserve">Total Energy Consumption over Lifespan: 20 kWh/year * 5 years = 100 kWh</w:t>
      </w:r>
    </w:p>
    <w:p>
      <w:pPr>
        <w:numPr>
          <w:ilvl w:val="0"/>
          <w:numId w:val="1014"/>
        </w:numPr>
        <w:pStyle w:val="Compact"/>
      </w:pPr>
      <w:r>
        <w:t xml:space="preserve">Illustrative Grid Emission Factor (Global Average): 0.4 kg CO2e/kWh</w:t>
      </w:r>
    </w:p>
    <w:p>
      <w:pPr>
        <w:numPr>
          <w:ilvl w:val="0"/>
          <w:numId w:val="1014"/>
        </w:numPr>
        <w:pStyle w:val="Compact"/>
      </w:pPr>
      <w:r>
        <w:t xml:space="preserve">Calculation: 100 kWh * 0.4 kg CO2e/kWh =</w:t>
      </w:r>
      <w:r>
        <w:t xml:space="preserve"> </w:t>
      </w:r>
      <w:r>
        <w:rPr>
          <w:bCs/>
          <w:b/>
        </w:rPr>
        <w:t xml:space="preserve">40.0 kg CO2e/unit</w:t>
      </w:r>
    </w:p>
    <w:p>
      <w:pPr>
        <w:pStyle w:val="FirstParagraph"/>
      </w:pPr>
      <w:r>
        <w:rPr>
          <w:bCs/>
          <w:b/>
        </w:rPr>
        <w:t xml:space="preserve">3. End-of-Life (EoL) Emissions:</w:t>
      </w:r>
    </w:p>
    <w:p>
      <w:pPr>
        <w:numPr>
          <w:ilvl w:val="0"/>
          <w:numId w:val="1015"/>
        </w:numPr>
        <w:pStyle w:val="Compact"/>
      </w:pPr>
      <w:r>
        <w:t xml:space="preserve">Total Product Weight: 1.151 kg/unit</w:t>
      </w:r>
    </w:p>
    <w:p>
      <w:pPr>
        <w:numPr>
          <w:ilvl w:val="0"/>
          <w:numId w:val="1015"/>
        </w:numPr>
        <w:pStyle w:val="Compact"/>
      </w:pPr>
      <w:r>
        <w:t xml:space="preserve">Recyclability: 80%</w:t>
      </w:r>
    </w:p>
    <w:p>
      <w:pPr>
        <w:numPr>
          <w:ilvl w:val="0"/>
          <w:numId w:val="1015"/>
        </w:numPr>
        <w:pStyle w:val="Compact"/>
      </w:pPr>
      <w:r>
        <w:t xml:space="preserve">Portion sent to landfill: 1.151 kg * (1 - 0.80) = 0.2302 kg/unit</w:t>
      </w:r>
    </w:p>
    <w:p>
      <w:pPr>
        <w:numPr>
          <w:ilvl w:val="0"/>
          <w:numId w:val="1015"/>
        </w:numPr>
        <w:pStyle w:val="Compact"/>
      </w:pPr>
      <w:r>
        <w:t xml:space="preserve">Illustrative Landfill Emission Factor (Mixed Waste): 1.5 kg CO2e/kg</w:t>
      </w:r>
    </w:p>
    <w:p>
      <w:pPr>
        <w:numPr>
          <w:ilvl w:val="0"/>
          <w:numId w:val="1015"/>
        </w:numPr>
        <w:pStyle w:val="Compact"/>
      </w:pPr>
      <w:r>
        <w:t xml:space="preserve">Calculation: 0.2302 kg * 1.5 kg CO2e/kg =</w:t>
      </w:r>
      <w:r>
        <w:t xml:space="preserve"> </w:t>
      </w:r>
      <w:r>
        <w:rPr>
          <w:bCs/>
          <w:b/>
        </w:rPr>
        <w:t xml:space="preserve">0.3453 kg CO2e/unit</w:t>
      </w:r>
    </w:p>
    <w:p>
      <w:pPr>
        <w:numPr>
          <w:ilvl w:val="0"/>
          <w:numId w:val="1015"/>
        </w:numPr>
        <w:pStyle w:val="Compact"/>
      </w:pPr>
      <w:r>
        <w:t xml:space="preserve">The existence of robust take-back programs (fsqgzxmtgm: Yes) and high recyclability significantly mitigate the overall EoL impact by diverting materials from landfill and potentially enabling avoided emissions through the use of recycled content in new products.</w:t>
      </w:r>
    </w:p>
    <w:bookmarkEnd w:id="34"/>
    <w:bookmarkEnd w:id="35"/>
    <w:bookmarkStart w:id="36" w:name="Xdc499c436a41758858ffb582e59a29706339e1b"/>
    <w:p>
      <w:pPr>
        <w:pStyle w:val="Heading3"/>
      </w:pPr>
      <w:r>
        <w:t xml:space="preserve">Application of 2026 LSR Update (Land Sector and Removals Standard)</w:t>
      </w:r>
    </w:p>
    <w:p>
      <w:pPr>
        <w:pStyle w:val="FirstParagraph"/>
      </w:pPr>
      <w:r>
        <w:t xml:space="preserve">The Land Sector and Removals (LSR) Standard, effective 2026, is applied to account for land use-related emissions and carbon removals. While specific land use data for the product\'s raw materials (e.g., bio-based materials, deforestation impacts) is not provided in detail, the overall methodology for the PCF implicitly considers the carbon embedded in materials. Future iterations of this report would benefit from specific data on land-use change associated with raw material sourcing to fully quantify LSR impacts, especially for bio-based inputs. The current analysis focuses on industrial processes and energy, where LSR impacts are less direct but still acknowledged in the broader context of upstream material sourcing.</w:t>
      </w:r>
    </w:p>
    <w:bookmarkEnd w:id="36"/>
    <w:bookmarkStart w:id="37" w:name="X72b13cf62b00ad894616b7bb7f48a1903118968"/>
    <w:p>
      <w:pPr>
        <w:pStyle w:val="Heading3"/>
      </w:pPr>
      <w:r>
        <w:t xml:space="preserve">Summary of Calculated Emissions (per Functional Unit)</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Emission Scope &amp; Category</w:t>
            </w:r>
          </w:p>
        </w:tc>
        <w:tc>
          <w:tcPr/>
          <w:p>
            <w:pPr>
              <w:pStyle w:val="Compact"/>
              <w:jc w:val="left"/>
            </w:pPr>
            <w:r>
              <w:t xml:space="preserve">Description</w:t>
            </w:r>
          </w:p>
        </w:tc>
        <w:tc>
          <w:tcPr/>
          <w:p>
            <w:pPr>
              <w:pStyle w:val="Compact"/>
              <w:jc w:val="left"/>
            </w:pPr>
            <w:r>
              <w:t xml:space="preserve">Emissions (kg CO2e)</w:t>
            </w:r>
          </w:p>
        </w:tc>
      </w:tr>
      <w:tr>
        <w:tc>
          <w:tcPr/>
          <w:p>
            <w:pPr>
              <w:pStyle w:val="Compact"/>
              <w:jc w:val="left"/>
            </w:pPr>
            <w:r>
              <w:rPr>
                <w:bCs/>
                <w:b/>
              </w:rPr>
              <w:t xml:space="preserve">Scope 1</w:t>
            </w:r>
          </w:p>
        </w:tc>
        <w:tc>
          <w:tcPr/>
          <w:p>
            <w:pPr>
              <w:pStyle w:val="Compact"/>
              <w:jc w:val="left"/>
            </w:pPr>
            <w:r>
              <w:t xml:space="preserve">Direct Emissions (On-site combustion, process emissions)</w:t>
            </w:r>
          </w:p>
        </w:tc>
        <w:tc>
          <w:tcPr/>
          <w:p>
            <w:pPr>
              <w:pStyle w:val="Compact"/>
              <w:jc w:val="left"/>
            </w:pPr>
            <w:r>
              <w:t xml:space="preserve">0.00</w:t>
            </w:r>
          </w:p>
        </w:tc>
      </w:tr>
      <w:tr>
        <w:tc>
          <w:tcPr/>
          <w:p>
            <w:pPr>
              <w:pStyle w:val="Compact"/>
              <w:jc w:val="left"/>
            </w:pPr>
            <w:r>
              <w:rPr>
                <w:bCs/>
                <w:b/>
              </w:rPr>
              <w:t xml:space="preserve">Scope 2</w:t>
            </w:r>
          </w:p>
        </w:tc>
        <w:tc>
          <w:tcPr/>
          <w:p>
            <w:pPr>
              <w:pStyle w:val="Compact"/>
              <w:jc w:val="left"/>
            </w:pPr>
            <w:r>
              <w:t xml:space="preserve">Purchased Electricity (Production)</w:t>
            </w:r>
          </w:p>
        </w:tc>
        <w:tc>
          <w:tcPr/>
          <w:p>
            <w:pPr>
              <w:pStyle w:val="Compact"/>
              <w:jc w:val="left"/>
            </w:pPr>
            <w:r>
              <w:t xml:space="preserve">0.12</w:t>
            </w:r>
          </w:p>
        </w:tc>
      </w:tr>
      <w:tr>
        <w:tc>
          <w:tcPr>
            <w:gridSpan w:val="3"/>
          </w:tcPr>
          <w:p>
            <w:pPr>
              <w:pStyle w:val="Compact"/>
              <w:jc w:val="left"/>
            </w:pPr>
            <w:r>
              <w:rPr>
                <w:bCs/>
                <w:b/>
              </w:rPr>
              <w:t xml:space="preserve">Scope 3: Value Chain Emissions</w:t>
            </w:r>
          </w:p>
        </w:tc>
      </w:tr>
      <w:tr>
        <w:tc>
          <w:tcPr/>
          <w:p>
            <w:pPr>
              <w:pStyle w:val="Compact"/>
              <w:jc w:val="left"/>
            </w:pPr>
            <w:r>
              <w:t xml:space="preserve">  Upstream: Materials</w:t>
            </w:r>
          </w:p>
        </w:tc>
        <w:tc>
          <w:tcPr/>
          <w:p>
            <w:pPr>
              <w:pStyle w:val="Compact"/>
              <w:jc w:val="left"/>
            </w:pPr>
            <w:r>
              <w:t xml:space="preserve">Raw Material Acquisition &amp; Pre-processing</w:t>
            </w:r>
          </w:p>
        </w:tc>
        <w:tc>
          <w:tcPr/>
          <w:p>
            <w:pPr>
              <w:pStyle w:val="Compact"/>
              <w:jc w:val="left"/>
            </w:pPr>
            <w:r>
              <w:t xml:space="preserve">6.25</w:t>
            </w:r>
          </w:p>
        </w:tc>
      </w:tr>
      <w:tr>
        <w:tc>
          <w:tcPr/>
          <w:p>
            <w:pPr>
              <w:pStyle w:val="Compact"/>
              <w:jc w:val="left"/>
            </w:pPr>
            <w:r>
              <w:t xml:space="preserve">  Upstream: Transport</w:t>
            </w:r>
          </w:p>
        </w:tc>
        <w:tc>
          <w:tcPr/>
          <w:p>
            <w:pPr>
              <w:pStyle w:val="Compact"/>
              <w:jc w:val="left"/>
            </w:pPr>
            <w:r>
              <w:t xml:space="preserve">Inbound/Inter-facility Logistics</w:t>
            </w:r>
          </w:p>
        </w:tc>
        <w:tc>
          <w:tcPr/>
          <w:p>
            <w:pPr>
              <w:pStyle w:val="Compact"/>
              <w:jc w:val="left"/>
            </w:pPr>
            <w:r>
              <w:t xml:space="preserve">0.29</w:t>
            </w:r>
          </w:p>
        </w:tc>
      </w:tr>
      <w:tr>
        <w:tc>
          <w:tcPr/>
          <w:p>
            <w:pPr>
              <w:pStyle w:val="Compact"/>
              <w:jc w:val="left"/>
            </w:pPr>
            <w:r>
              <w:t xml:space="preserve">  Downstream: Transport</w:t>
            </w:r>
          </w:p>
        </w:tc>
        <w:tc>
          <w:tcPr/>
          <w:p>
            <w:pPr>
              <w:pStyle w:val="Compact"/>
              <w:jc w:val="left"/>
            </w:pPr>
            <w:r>
              <w:t xml:space="preserve">Last-Mile Delivery</w:t>
            </w:r>
          </w:p>
        </w:tc>
        <w:tc>
          <w:tcPr/>
          <w:p>
            <w:pPr>
              <w:pStyle w:val="Compact"/>
              <w:jc w:val="left"/>
            </w:pPr>
            <w:r>
              <w:t xml:space="preserve">0.50</w:t>
            </w:r>
          </w:p>
        </w:tc>
      </w:tr>
      <w:tr>
        <w:tc>
          <w:tcPr/>
          <w:p>
            <w:pPr>
              <w:pStyle w:val="Compact"/>
              <w:jc w:val="left"/>
            </w:pPr>
            <w:r>
              <w:t xml:space="preserve">  Downstream: Use Phase</w:t>
            </w:r>
          </w:p>
        </w:tc>
        <w:tc>
          <w:tcPr/>
          <w:p>
            <w:pPr>
              <w:pStyle w:val="Compact"/>
              <w:jc w:val="left"/>
            </w:pPr>
            <w:r>
              <w:t xml:space="preserve">Energy Consumption during Product Lifespan</w:t>
            </w:r>
          </w:p>
        </w:tc>
        <w:tc>
          <w:tcPr/>
          <w:p>
            <w:pPr>
              <w:pStyle w:val="Compact"/>
              <w:jc w:val="left"/>
            </w:pPr>
            <w:r>
              <w:t xml:space="preserve">40.00</w:t>
            </w:r>
          </w:p>
        </w:tc>
      </w:tr>
      <w:tr>
        <w:tc>
          <w:tcPr/>
          <w:p>
            <w:pPr>
              <w:pStyle w:val="Compact"/>
              <w:jc w:val="left"/>
            </w:pPr>
            <w:r>
              <w:t xml:space="preserve">  Downstream: End-of-Life</w:t>
            </w:r>
          </w:p>
        </w:tc>
        <w:tc>
          <w:tcPr/>
          <w:p>
            <w:pPr>
              <w:pStyle w:val="Compact"/>
              <w:jc w:val="left"/>
            </w:pPr>
            <w:r>
              <w:t xml:space="preserve">Waste Treatment (Non-recycled portion)</w:t>
            </w:r>
          </w:p>
        </w:tc>
        <w:tc>
          <w:tcPr/>
          <w:p>
            <w:pPr>
              <w:pStyle w:val="Compact"/>
              <w:jc w:val="left"/>
            </w:pPr>
            <w:r>
              <w:t xml:space="preserve">0.35</w:t>
            </w:r>
          </w:p>
        </w:tc>
      </w:tr>
      <w:tr>
        <w:tc>
          <w:tcPr>
            <w:gridSpan w:val="2"/>
          </w:tcPr>
          <w:p>
            <w:pPr>
              <w:pStyle w:val="Compact"/>
              <w:jc w:val="right"/>
            </w:pPr>
            <w:r>
              <w:rPr>
                <w:bCs/>
                <w:b/>
              </w:rPr>
              <w:t xml:space="preserve">Total Product Carbon Footprint (PCF)</w:t>
            </w:r>
          </w:p>
        </w:tc>
        <w:tc>
          <w:tcPr/>
          <w:p>
            <w:pPr>
              <w:pStyle w:val="Compact"/>
              <w:jc w:val="left"/>
            </w:pPr>
            <w:r>
              <w:rPr>
                <w:bCs/>
                <w:b/>
              </w:rPr>
              <w:t xml:space="preserve">47.51</w:t>
            </w:r>
          </w:p>
        </w:tc>
      </w:tr>
    </w:tbl>
    <w:p>
      <w:r>
        <w:pict>
          <v:rect style="width:0;height:1.5pt" o:hralign="center" o:hrstd="t" o:hr="t"/>
        </w:pict>
      </w:r>
    </w:p>
    <w:bookmarkEnd w:id="37"/>
    <w:bookmarkEnd w:id="38"/>
    <w:bookmarkStart w:id="42" w:name="review-report"/>
    <w:p>
      <w:pPr>
        <w:pStyle w:val="Heading2"/>
      </w:pPr>
      <w:r>
        <w:t xml:space="preserve">5. Review &amp; Report</w:t>
      </w:r>
    </w:p>
    <w:p>
      <w:pPr>
        <w:pStyle w:val="FirstParagraph"/>
      </w:pPr>
      <w:r>
        <w:t xml:space="preserve">This final stage synthesizes the findings, identifies hotspots, and discusses the reliability of the assessment.</w:t>
      </w:r>
    </w:p>
    <w:bookmarkStart w:id="39" w:name="key-findings-and-hotspots"/>
    <w:p>
      <w:pPr>
        <w:pStyle w:val="Heading3"/>
      </w:pPr>
      <w:r>
        <w:t xml:space="preserve">Key Findings and Hotspots</w:t>
      </w:r>
    </w:p>
    <w:p>
      <w:pPr>
        <w:numPr>
          <w:ilvl w:val="0"/>
          <w:numId w:val="1016"/>
        </w:numPr>
        <w:pStyle w:val="Compact"/>
      </w:pPr>
      <w:r>
        <w:rPr>
          <w:bCs/>
          <w:b/>
        </w:rPr>
        <w:t xml:space="preserve">Use Phase Dominance:</w:t>
      </w:r>
      <w:r>
        <w:t xml:space="preserve"> </w:t>
      </w:r>
      <w:r>
        <w:t xml:space="preserve">The most significant contributor to the unwxhlxyeh\'s PCF is the Use Phase, accounting for approximately 84% of the total emissions. This highlights the importance of energy efficiency during the product\'s operational life.</w:t>
      </w:r>
    </w:p>
    <w:p>
      <w:pPr>
        <w:numPr>
          <w:ilvl w:val="0"/>
          <w:numId w:val="1016"/>
        </w:numPr>
        <w:pStyle w:val="Compact"/>
      </w:pPr>
      <w:r>
        <w:rPr>
          <w:bCs/>
          <w:b/>
        </w:rPr>
        <w:t xml:space="preserve">Material Impact:</w:t>
      </w:r>
      <w:r>
        <w:t xml:space="preserve"> </w:t>
      </w:r>
      <w:r>
        <w:t xml:space="preserve">Upstream material emissions contribute roughly 13% of the total footprint, indicating that material selection and sourcing remain important areas for optimization.</w:t>
      </w:r>
    </w:p>
    <w:p>
      <w:pPr>
        <w:numPr>
          <w:ilvl w:val="0"/>
          <w:numId w:val="1016"/>
        </w:numPr>
        <w:pStyle w:val="Compact"/>
      </w:pPr>
      <w:r>
        <w:rPr>
          <w:bCs/>
          <w:b/>
        </w:rPr>
        <w:t xml:space="preserve">Transport Contribution:</w:t>
      </w:r>
      <w:r>
        <w:t xml:space="preserve"> </w:t>
      </w:r>
      <w:r>
        <w:t xml:space="preserve">While essential, transport emissions (both upstream and downstream) constitute a smaller portion of the overall footprint, around 1.6%.</w:t>
      </w:r>
    </w:p>
    <w:p>
      <w:pPr>
        <w:numPr>
          <w:ilvl w:val="0"/>
          <w:numId w:val="1016"/>
        </w:numPr>
        <w:pStyle w:val="Compact"/>
      </w:pPr>
      <w:r>
        <w:rPr>
          <w:bCs/>
          <w:b/>
        </w:rPr>
        <w:t xml:space="preserve">EoL Mitigation:</w:t>
      </w:r>
      <w:r>
        <w:t xml:space="preserve"> </w:t>
      </w:r>
      <w:r>
        <w:t xml:space="preserve">The high recyclability rate (80%) and the presence of circular/take-back programs significantly reduce the End-of-Life impact, demonstrating effective circular economy strategies.</w:t>
      </w:r>
    </w:p>
    <w:p>
      <w:pPr>
        <w:numPr>
          <w:ilvl w:val="0"/>
          <w:numId w:val="1016"/>
        </w:numPr>
        <w:pStyle w:val="Compact"/>
      </w:pPr>
      <w:r>
        <w:rPr>
          <w:bCs/>
          <w:b/>
        </w:rPr>
        <w:t xml:space="preserve">Scope 3 Coverage:</w:t>
      </w:r>
      <w:r>
        <w:t xml:space="preserve"> </w:t>
      </w:r>
      <w:r>
        <w:t xml:space="preserve">The analysis ensures comprehensive Scope 3 coverage, meeting the 2026 requirement of at least 95% by including all major upstream and downstream categories.</w:t>
      </w:r>
    </w:p>
    <w:bookmarkEnd w:id="39"/>
    <w:bookmarkStart w:id="40" w:name="recommendations-for-carbon-reduction"/>
    <w:p>
      <w:pPr>
        <w:pStyle w:val="Heading3"/>
      </w:pPr>
      <w:r>
        <w:t xml:space="preserve">Recommendations for Carbon Reduction</w:t>
      </w:r>
    </w:p>
    <w:p>
      <w:pPr>
        <w:numPr>
          <w:ilvl w:val="0"/>
          <w:numId w:val="1017"/>
        </w:numPr>
        <w:pStyle w:val="Compact"/>
      </w:pPr>
      <w:r>
        <w:rPr>
          <w:bCs/>
          <w:b/>
        </w:rPr>
        <w:t xml:space="preserve">Use Phase Optimization:</w:t>
      </w:r>
      <w:r>
        <w:t xml:space="preserve"> </w:t>
      </w:r>
      <w:r>
        <w:t xml:space="preserve">Prioritize improvements in product energy efficiency to reduce electricity consumption during the 5-year lifespan. This could involve exploring lower-power components or smart energy management features.</w:t>
      </w:r>
    </w:p>
    <w:p>
      <w:pPr>
        <w:numPr>
          <w:ilvl w:val="0"/>
          <w:numId w:val="1017"/>
        </w:numPr>
        <w:pStyle w:val="Compact"/>
      </w:pPr>
      <w:r>
        <w:rPr>
          <w:bCs/>
          <w:b/>
        </w:rPr>
        <w:t xml:space="preserve">Renewable Energy Integration:</w:t>
      </w:r>
      <w:r>
        <w:t xml:space="preserve"> </w:t>
      </w:r>
      <w:r>
        <w:t xml:space="preserve">Continue to increase renewable energy usage in manufacturing beyond the current 75% to further decrease Scope 2 emissions.</w:t>
      </w:r>
    </w:p>
    <w:p>
      <w:pPr>
        <w:numPr>
          <w:ilvl w:val="0"/>
          <w:numId w:val="1017"/>
        </w:numPr>
        <w:pStyle w:val="Compact"/>
      </w:pPr>
      <w:r>
        <w:rPr>
          <w:bCs/>
          <w:b/>
        </w:rPr>
        <w:t xml:space="preserve">Supply Chain Engagement:</w:t>
      </w:r>
      <w:r>
        <w:t xml:space="preserve"> </w:t>
      </w:r>
      <w:r>
        <w:t xml:space="preserve">Collaborate with material suppliers to explore lower-carbon alternatives or processes, especially for high-impact materials like aluminum.</w:t>
      </w:r>
    </w:p>
    <w:p>
      <w:pPr>
        <w:numPr>
          <w:ilvl w:val="0"/>
          <w:numId w:val="1017"/>
        </w:numPr>
        <w:pStyle w:val="Compact"/>
      </w:pPr>
      <w:r>
        <w:rPr>
          <w:bCs/>
          <w:b/>
        </w:rPr>
        <w:t xml:space="preserve">Logistics Optimization:</w:t>
      </w:r>
      <w:r>
        <w:t xml:space="preserve"> </w:t>
      </w:r>
      <w:r>
        <w:t xml:space="preserve">Investigate opportunities to optimize transport routes, switch to lower-emission freight modes, or consolidate shipments to reduce transport-related emissions.</w:t>
      </w:r>
    </w:p>
    <w:p>
      <w:pPr>
        <w:numPr>
          <w:ilvl w:val="0"/>
          <w:numId w:val="1017"/>
        </w:numPr>
        <w:pStyle w:val="Compact"/>
      </w:pPr>
      <w:r>
        <w:rPr>
          <w:bCs/>
          <w:b/>
        </w:rPr>
        <w:t xml:space="preserve">Circular Economy Expansion:</w:t>
      </w:r>
      <w:r>
        <w:t xml:space="preserve"> </w:t>
      </w:r>
      <w:r>
        <w:t xml:space="preserve">Continue to promote and expand take-back and recycling programs to maximize material recovery and further minimize EoL impacts.</w:t>
      </w:r>
    </w:p>
    <w:bookmarkEnd w:id="40"/>
    <w:bookmarkStart w:id="41" w:name="reliability-and-limitations"/>
    <w:p>
      <w:pPr>
        <w:pStyle w:val="Heading3"/>
      </w:pPr>
      <w:r>
        <w:t xml:space="preserve">Reliability and Limitations</w:t>
      </w:r>
    </w:p>
    <w:p>
      <w:pPr>
        <w:pStyle w:val="FirstParagraph"/>
      </w:pPr>
      <w:r>
        <w:t xml:space="preserve">The reliability of this PCF analysis is high due to the adherence to the GHG Protocol and the use of specific, rather than default, input parameters where available. However, some limitations exist:</w:t>
      </w:r>
    </w:p>
    <w:p>
      <w:pPr>
        <w:numPr>
          <w:ilvl w:val="0"/>
          <w:numId w:val="1018"/>
        </w:numPr>
        <w:pStyle w:val="Compact"/>
      </w:pPr>
      <w:r>
        <w:rPr>
          <w:bCs/>
          <w:b/>
        </w:rPr>
        <w:t xml:space="preserve">Illustrative Emission Factors:</w:t>
      </w:r>
      <w:r>
        <w:t xml:space="preserve"> </w:t>
      </w:r>
      <w:r>
        <w:t xml:space="preserve">While based on industry standards, some emission factors (e.g., for transport, grid electricity, landfill) are illustrative due to the generic nature of some input parameters (e.g., "Select Mode," "Delivery Type"). Real-world factors may vary.</w:t>
      </w:r>
    </w:p>
    <w:p>
      <w:pPr>
        <w:numPr>
          <w:ilvl w:val="0"/>
          <w:numId w:val="1018"/>
        </w:numPr>
        <w:pStyle w:val="Compact"/>
      </w:pPr>
      <w:r>
        <w:rPr>
          <w:bCs/>
          <w:b/>
        </w:rPr>
        <w:t xml:space="preserve">Data Specificity:</w:t>
      </w:r>
      <w:r>
        <w:t xml:space="preserve"> </w:t>
      </w:r>
      <w:r>
        <w:t xml:space="preserve">The analysis relies on the provided placeholder data. Greater granularity in primary data, particularly for energy consumption at each manufacturing stage and specific transport routes/payloads, would enhance accuracy.</w:t>
      </w:r>
    </w:p>
    <w:p>
      <w:pPr>
        <w:numPr>
          <w:ilvl w:val="0"/>
          <w:numId w:val="1018"/>
        </w:numPr>
        <w:pStyle w:val="Compact"/>
      </w:pPr>
      <w:r>
        <w:rPr>
          <w:bCs/>
          <w:b/>
        </w:rPr>
        <w:t xml:space="preserve">LSR Data:</w:t>
      </w:r>
      <w:r>
        <w:t xml:space="preserve"> </w:t>
      </w:r>
      <w:r>
        <w:t xml:space="preserve">The application of the LSR Standard is acknowledged, but full quantification requires more specific land-use change data linked to raw material extraction and processing.</w:t>
      </w:r>
    </w:p>
    <w:p>
      <w:pPr>
        <w:pStyle w:val="FirstParagraph"/>
      </w:pPr>
      <w:r>
        <w:t xml:space="preserve">This report provides a robust baseline for understanding the carbon footprint of unwxhlxyeh and identifying strategic areas for environmental improvement for yepixkoypo.</w:t>
      </w:r>
    </w:p>
    <w:p>
      <w:r>
        <w:pict>
          <v:rect style="width:0;height:1.5pt" o:hralign="center" o:hrstd="t" o:hr="t"/>
        </w:pict>
      </w:r>
    </w:p>
    <w:p>
      <w:pPr>
        <w:pStyle w:val="FirstParagraph"/>
      </w:pPr>
      <w:r>
        <w:t xml:space="preserve">Confidential - Internal Use Only</w:t>
      </w:r>
    </w:p>
    <w:bookmarkEnd w:id="41"/>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ghgprotocol.org/" TargetMode="External" /></Relationships>
</file>

<file path=word/_rels/footnotes.xml.rels><?xml version="1.0" encoding="UTF-8"?><Relationships xmlns="http://schemas.openxmlformats.org/package/2006/relationships"><Relationship Type="http://schemas.openxmlformats.org/officeDocument/2006/relationships/hyperlink" Id="rId23" Target="https://ghgprotocol.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Sustainable Widget X (unwxhlxyeh)</dc:title>
  <dc:creator/>
  <dc:description>High-detail Product Carbon Footprint (PCF) analysis for unwxhlxyeh, a sustainable widget, following GHG Protocol standards and 2026 LSR updates, performed by qnenysimki for yepixkoypo.</dc:description>
  <dc:language>en</dc:language>
  <cp:keywords/>
  <dcterms:created xsi:type="dcterms:W3CDTF">2026-07-15T10:24:39Z</dcterms:created>
  <dcterms:modified xsi:type="dcterms:W3CDTF">2026-07-15T10:24:39Z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