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Sustainable</w:t>
      </w:r>
      <w:r>
        <w:t xml:space="preserve"> </w:t>
      </w:r>
      <w:r>
        <w:t xml:space="preserve">Widget</w:t>
      </w:r>
      <w:r>
        <w:t xml:space="preserve"> </w:t>
      </w:r>
      <w:r>
        <w:t xml:space="preserve">2000</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Sustainable Widget 2000</w:t>
      </w:r>
    </w:p>
    <w:p>
      <w:pPr>
        <w:pStyle w:val="BodyText"/>
      </w:pPr>
      <w:r>
        <w:rPr>
          <w:bCs/>
          <w:b/>
        </w:rPr>
        <w:t xml:space="preserve">Company:</w:t>
      </w:r>
      <w:r>
        <w:t xml:space="preserve"> </w:t>
      </w:r>
      <w:r>
        <w:t xml:space="preserve">EcoInnovate Corp.</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Elara H. Whiteshield</w:t>
      </w:r>
    </w:p>
    <w:p>
      <w:pPr>
        <w:pStyle w:val="BodyText"/>
      </w:pPr>
      <w:r>
        <w:t xml:space="preserve">This report is generated based on available data and industry standards. All placeholder values are illustrative and would be replaced with specific, verified data for a conclusive analysis.</w:t>
      </w:r>
    </w:p>
    <w:bookmarkEnd w:id="20"/>
    <w:bookmarkStart w:id="48" w:name="product-carbon-footprint-analysis"/>
    <w:p>
      <w:pPr>
        <w:pStyle w:val="Heading1"/>
      </w:pPr>
      <w:r>
        <w:t xml:space="preserve">Product Carbon Footprint Analysis</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"Sustainable Widget 2000" manufactured by EcoInnovate Corp. The assessment adheres strictly to the GHG Protocol accounting standard, incorporating the 2026 Land Sector and Removals (LSR) Standard update and ensuring comprehensive Scope 3 coverage. The analysis covers the entire lifecycle from raw material acquisition to end-of-life, with a system boundary set at the factory gate for the primary production, and extending to cover downstream impacts. Key emission hotspots are identified across materials, production energy, transport, product use, and end-of-life stages, providing actionable insights for emissions reduction. All specific parameters for this report, such as BOM details, transport modes, energy usage, and end-of-life scenarios, have been incorporated to provide a tailored assessment. Please note that specific data for `fdlejjgg`, `pdnxgwfros`, `jrfwwggzvl`, `qjudyzfqug`, `tuvqmgvdex`, `yssfshhjes`, `qfgxoqpnlh`, and `vpvnnyrhuz` were provided as placeholders and illustrative values are used in calculations where specific numerical inputs were required. "Select Mode" and "Delivery Type" have been interpreted as "Road (Heavy-duty Truck)" and "Parcel delivery (van)" respectively for illustrative transport calculations.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This section outlines the foundational parameters for the Product Carbon Footprint analysis of the "Sustainable Widget 2000".</w:t>
      </w:r>
    </w:p>
    <w:p>
      <w:pPr>
        <w:numPr>
          <w:ilvl w:val="0"/>
          <w:numId w:val="1001"/>
        </w:numPr>
        <w:pStyle w:val="Compact"/>
      </w:pPr>
      <w:r>
        <w:rPr>
          <w:bCs/>
          <w:b/>
        </w:rPr>
        <w:t xml:space="preserve">Functional Unit:</w:t>
      </w:r>
      <w:r>
        <w:t xml:space="preserve"> </w:t>
      </w:r>
      <w:r>
        <w:t xml:space="preserve">1.0 unit of "Sustainable Widget 2000".</w:t>
      </w:r>
    </w:p>
    <w:p>
      <w:pPr>
        <w:numPr>
          <w:ilvl w:val="0"/>
          <w:numId w:val="1001"/>
        </w:numPr>
        <w:pStyle w:val="Compact"/>
      </w:pPr>
      <w:r>
        <w:rPr>
          <w:bCs/>
          <w:b/>
        </w:rPr>
        <w:t xml:space="preserve">System Boundary:</w:t>
      </w:r>
      <w:r>
        <w:t xml:space="preserve"> </w:t>
      </w:r>
      <w:r>
        <w:t xml:space="preserve">Cradle-to-grave, with primary focus on factory_gate for production emissions, extending to include upstream material acquisition, inbound/outbound logistics, product use, and end-of-life scenarios.</w:t>
      </w:r>
    </w:p>
    <w:p>
      <w:pPr>
        <w:numPr>
          <w:ilvl w:val="0"/>
          <w:numId w:val="1001"/>
        </w:numPr>
        <w:pStyle w:val="Compact"/>
      </w:pPr>
      <w:r>
        <w:rPr>
          <w:bCs/>
          <w:b/>
        </w:rPr>
        <w:t xml:space="preserve">Geographic Scope:</w:t>
      </w:r>
      <w:r>
        <w:t xml:space="preserve"> </w:t>
      </w:r>
      <w:r>
        <w:t xml:space="preserve">Final Production Country: China, Supply Chain Focus: Europe Focused for raw material sourcing.</w:t>
      </w:r>
    </w:p>
    <w:p>
      <w:pPr>
        <w:numPr>
          <w:ilvl w:val="0"/>
          <w:numId w:val="1001"/>
        </w:numPr>
        <w:pStyle w:val="Compact"/>
      </w:pPr>
      <w:r>
        <w:rPr>
          <w:bCs/>
          <w:b/>
        </w:rPr>
        <w:t xml:space="preserve">Accounting Standard:</w:t>
      </w:r>
      <w:r>
        <w:t xml:space="preserve"> </w:t>
      </w:r>
      <w:r>
        <w:t xml:space="preserve">GHG Protocol. This standard dictates the categorization of emissions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Emissions are allocated based on mass for raw materials where specific data is unavailable. For energy, direct consumption is allocated per functional unit. Shared processes are allocated proportionally to the product\'s share of throughput or mass.</w:t>
      </w:r>
    </w:p>
    <w:p>
      <w:r>
        <w:pict>
          <v:rect style="width:0;height:1.5pt" o:hralign="center" o:hrstd="t" o:hr="t"/>
        </w:pict>
      </w:r>
    </w:p>
    <w:bookmarkEnd w:id="22"/>
    <w:bookmarkStart w:id="28" w:name="map-lifecycle-3.-collect-data"/>
    <w:p>
      <w:pPr>
        <w:pStyle w:val="Heading2"/>
      </w:pPr>
      <w:r>
        <w:t xml:space="preserve">2. Map Lifecycle &amp; 3. Collect Data</w:t>
      </w:r>
    </w:p>
    <w:p>
      <w:pPr>
        <w:pStyle w:val="FirstParagraph"/>
      </w:pPr>
      <w:r>
        <w:t xml:space="preserve">The lifecycle mapping identifies all stages contributing to the product\'s carbon footprint. Data collection involved gathering specific information on materials, energy, transport, and end-of-life scenarios, leveraging both primary (provided parameters) and secondary (industry-average emission factors) data sources.</w:t>
      </w:r>
    </w:p>
    <w:bookmarkStart w:id="23" w:name="detailed-bill-of-materials-bom"/>
    <w:p>
      <w:pPr>
        <w:pStyle w:val="Heading3"/>
      </w:pPr>
      <w:r>
        <w:t xml:space="preserve">Detailed Bill of Materials (BOM)</w:t>
      </w:r>
    </w:p>
    <w:p>
      <w:pPr>
        <w:pStyle w:val="FirstParagraph"/>
      </w:pPr>
      <w:r>
        <w:t xml:space="preserve">The following table details the Bill of Materials for the "Sustainable Widget 2000", using the provided BOM string (fdlejjgg) structure. The "Total Carbon" values are directly used for the material\'s impact, assuming they represent pre-calculated cradle-to-gate impacts for the given quantity of material.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2</w:t>
            </w:r>
          </w:p>
        </w:tc>
        <w:tc>
          <w:tcPr/>
          <w:p>
            <w:pPr>
              <w:pStyle w:val="Compact"/>
              <w:jc w:val="left"/>
            </w:pPr>
            <w:r>
              <w:t xml:space="preserve">Recycled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30.0</w:t>
            </w:r>
          </w:p>
        </w:tc>
        <w:tc>
          <w:tcPr/>
          <w:p>
            <w:pPr>
              <w:pStyle w:val="Compact"/>
              <w:jc w:val="left"/>
            </w:pPr>
            <w:r>
              <w:t xml:space="preserve">3.0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2.0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Conversion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w:t>
            </w:r>
          </w:p>
        </w:tc>
        <w:tc>
          <w:tcPr/>
          <w:p>
            <w:pPr>
              <w:pStyle w:val="Compact"/>
              <w:jc w:val="left"/>
            </w:pPr>
            <w:r>
              <w:t xml:space="preserve">0.225</w:t>
            </w:r>
          </w:p>
        </w:tc>
      </w:tr>
    </w:tbl>
    <w:p>
      <w:pPr>
        <w:pStyle w:val="BodyText"/>
      </w:pPr>
      <w:r>
        <w:rPr>
          <w:iCs/>
          <w:i/>
        </w:rPr>
        <w:t xml:space="preserve">Note: The above BOM data is illustrative, based on the specified format and placeholder `fdlejjgg`. Actual figures would be derived from precise material specifications and supplier data.</w:t>
      </w:r>
    </w:p>
    <w:bookmarkEnd w:id="23"/>
    <w:bookmarkStart w:id="24" w:name="energy-inputs-for-production"/>
    <w:p>
      <w:pPr>
        <w:pStyle w:val="Heading3"/>
      </w:pPr>
      <w:r>
        <w:t xml:space="preserve">Energy Inputs for Production</w:t>
      </w:r>
    </w:p>
    <w:p>
      <w:pPr>
        <w:numPr>
          <w:ilvl w:val="0"/>
          <w:numId w:val="1002"/>
        </w:numPr>
        <w:pStyle w:val="Compact"/>
      </w:pPr>
      <w:r>
        <w:rPr>
          <w:bCs/>
          <w:b/>
        </w:rPr>
        <w:t xml:space="preserve">Renewable Energy Usage:</w:t>
      </w:r>
      <w:r>
        <w:t xml:space="preserve"> </w:t>
      </w:r>
      <w:r>
        <w:t xml:space="preserve">75% (jrfwwggzvl)</w:t>
      </w:r>
    </w:p>
    <w:p>
      <w:pPr>
        <w:numPr>
          <w:ilvl w:val="0"/>
          <w:numId w:val="1002"/>
        </w:numPr>
        <w:pStyle w:val="Compact"/>
      </w:pPr>
      <w:r>
        <w:rPr>
          <w:bCs/>
          <w:b/>
        </w:rPr>
        <w:t xml:space="preserve">Energy Intensity (kWh/unit):</w:t>
      </w:r>
      <w:r>
        <w:t xml:space="preserve"> </w:t>
      </w:r>
      <w:r>
        <w:t xml:space="preserve">50 kWh/unit (qjudyzfqug)</w:t>
      </w:r>
    </w:p>
    <w:p>
      <w:pPr>
        <w:numPr>
          <w:ilvl w:val="0"/>
          <w:numId w:val="1002"/>
        </w:numPr>
        <w:pStyle w:val="Compact"/>
      </w:pPr>
      <w:r>
        <w:rPr>
          <w:bCs/>
          <w:b/>
        </w:rPr>
        <w:t xml:space="preserve">Non-Renewable Energy Usage:</w:t>
      </w:r>
      <w:r>
        <w:t xml:space="preserve"> </w:t>
      </w:r>
      <w:r>
        <w:t xml:space="preserve">25% (100% - 75%)</w:t>
      </w:r>
    </w:p>
    <w:p>
      <w:pPr>
        <w:numPr>
          <w:ilvl w:val="0"/>
          <w:numId w:val="1002"/>
        </w:numPr>
        <w:pStyle w:val="Compact"/>
      </w:pPr>
      <w:r>
        <w:rPr>
          <w:bCs/>
          <w:b/>
        </w:rPr>
        <w:t xml:space="preserve">Estimated Grid Emission Factor (China):</w:t>
      </w:r>
      <w:r>
        <w:t xml:space="preserve"> </w:t>
      </w:r>
      <w:r>
        <w:t xml:space="preserve">0.6 kgCO2e/kWh (Illustrative, based on recent national averages)</w:t>
      </w:r>
    </w:p>
    <w:bookmarkEnd w:id="24"/>
    <w:bookmarkStart w:id="25" w:name="logistics-data"/>
    <w:p>
      <w:pPr>
        <w:pStyle w:val="Heading3"/>
      </w:pPr>
      <w:r>
        <w:t xml:space="preserve">Logistics Data</w:t>
      </w:r>
    </w:p>
    <w:p>
      <w:pPr>
        <w:numPr>
          <w:ilvl w:val="0"/>
          <w:numId w:val="1003"/>
        </w:numPr>
        <w:pStyle w:val="Compact"/>
      </w:pPr>
      <w:r>
        <w:rPr>
          <w:bCs/>
          <w:b/>
        </w:rPr>
        <w:t xml:space="preserve">Primary Transport Mode (to factory gate / major distribution):</w:t>
      </w:r>
      <w:r>
        <w:t xml:space="preserve"> </w:t>
      </w:r>
      <w:r>
        <w:t xml:space="preserve">Road (Heavy-duty Truck) (Select Mode)</w:t>
      </w:r>
    </w:p>
    <w:p>
      <w:pPr>
        <w:numPr>
          <w:ilvl w:val="0"/>
          <w:numId w:val="1003"/>
        </w:numPr>
        <w:pStyle w:val="Compact"/>
      </w:pPr>
      <w:r>
        <w:rPr>
          <w:bCs/>
          <w:b/>
        </w:rPr>
        <w:t xml:space="preserve">Primary Transport Distance:</w:t>
      </w:r>
      <w:r>
        <w:t xml:space="preserve"> </w:t>
      </w:r>
      <w:r>
        <w:t xml:space="preserve">2500 km (pdnxgwfros)</w:t>
      </w:r>
    </w:p>
    <w:p>
      <w:pPr>
        <w:numPr>
          <w:ilvl w:val="0"/>
          <w:numId w:val="1003"/>
        </w:numPr>
        <w:pStyle w:val="Compact"/>
      </w:pPr>
      <w:r>
        <w:rPr>
          <w:bCs/>
          <w:b/>
        </w:rPr>
        <w:t xml:space="preserve">Last-Mile Delivery Channel:</w:t>
      </w:r>
      <w:r>
        <w:t xml:space="preserve"> </w:t>
      </w:r>
      <w:r>
        <w:t xml:space="preserve">Parcel delivery (van) (Delivery Type)</w:t>
      </w:r>
    </w:p>
    <w:p>
      <w:pPr>
        <w:numPr>
          <w:ilvl w:val="0"/>
          <w:numId w:val="1003"/>
        </w:numPr>
        <w:pStyle w:val="Compact"/>
      </w:pPr>
      <w:r>
        <w:rPr>
          <w:bCs/>
          <w:b/>
        </w:rPr>
        <w:t xml:space="preserve">Estimated Emission Factor for Road Freight (Heavy-duty Truck):</w:t>
      </w:r>
      <w:r>
        <w:t xml:space="preserve"> </w:t>
      </w:r>
      <w:r>
        <w:t xml:space="preserve">0.09 kgCO2e/tkm (Illustrative, based on industry-standard factors like Ecoinvent/DEFRA)</w:t>
      </w:r>
    </w:p>
    <w:p>
      <w:pPr>
        <w:numPr>
          <w:ilvl w:val="0"/>
          <w:numId w:val="1003"/>
        </w:numPr>
        <w:pStyle w:val="Compact"/>
      </w:pPr>
      <w:r>
        <w:rPr>
          <w:bCs/>
          <w:b/>
        </w:rPr>
        <w:t xml:space="preserve">Estimated Emission Factor for Parcel Delivery (Van):</w:t>
      </w:r>
      <w:r>
        <w:t xml:space="preserve"> </w:t>
      </w:r>
      <w:r>
        <w:t xml:space="preserve">0.5 kgCO2e/delivery (Illustrative, considering average package delivery emissions)</w:t>
      </w:r>
    </w:p>
    <w:p>
      <w:pPr>
        <w:numPr>
          <w:ilvl w:val="0"/>
          <w:numId w:val="1003"/>
        </w:numPr>
        <w:pStyle w:val="Compact"/>
      </w:pPr>
      <w:r>
        <w:rPr>
          <w:bCs/>
          <w:b/>
        </w:rPr>
        <w:t xml:space="preserve">Product Weight for Transport:</w:t>
      </w:r>
      <w:r>
        <w:t xml:space="preserve"> </w:t>
      </w:r>
      <w:r>
        <w:t xml:space="preserve">Sum of BOM quantities = 0.5 + 0.2 + 0.1 + 0.05 + 0.15 = 1.0 kg (Based on illustrative BOM)</w:t>
      </w:r>
    </w:p>
    <w:bookmarkEnd w:id="25"/>
    <w:bookmarkStart w:id="26" w:name="product-use-phase-data"/>
    <w:p>
      <w:pPr>
        <w:pStyle w:val="Heading3"/>
      </w:pPr>
      <w:r>
        <w:t xml:space="preserve">Product Use Phase Data</w:t>
      </w:r>
    </w:p>
    <w:p>
      <w:pPr>
        <w:numPr>
          <w:ilvl w:val="0"/>
          <w:numId w:val="1004"/>
        </w:numPr>
        <w:pStyle w:val="Compact"/>
      </w:pPr>
      <w:r>
        <w:rPr>
          <w:bCs/>
          <w:b/>
        </w:rPr>
        <w:t xml:space="preserve">Product Lifespan:</w:t>
      </w:r>
      <w:r>
        <w:t xml:space="preserve"> </w:t>
      </w:r>
      <w:r>
        <w:t xml:space="preserve">5 years (tuvqmgvdex)</w:t>
      </w:r>
    </w:p>
    <w:p>
      <w:pPr>
        <w:numPr>
          <w:ilvl w:val="0"/>
          <w:numId w:val="1004"/>
        </w:numPr>
        <w:pStyle w:val="Compact"/>
      </w:pPr>
      <w:r>
        <w:rPr>
          <w:bCs/>
          <w:b/>
        </w:rPr>
        <w:t xml:space="preserve">Energy Consumption in Use:</w:t>
      </w:r>
      <w:r>
        <w:t xml:space="preserve"> </w:t>
      </w:r>
      <w:r>
        <w:t xml:space="preserve">10 kWh/year (yssfshhjes)</w:t>
      </w:r>
    </w:p>
    <w:bookmarkEnd w:id="26"/>
    <w:bookmarkStart w:id="27" w:name="end-of-life-eol-scenarios-data"/>
    <w:p>
      <w:pPr>
        <w:pStyle w:val="Heading3"/>
      </w:pPr>
      <w:r>
        <w:t xml:space="preserve">End-of-Life (EoL) Scenarios Data</w:t>
      </w:r>
    </w:p>
    <w:p>
      <w:pPr>
        <w:numPr>
          <w:ilvl w:val="0"/>
          <w:numId w:val="1005"/>
        </w:numPr>
        <w:pStyle w:val="Compact"/>
      </w:pPr>
      <w:r>
        <w:rPr>
          <w:bCs/>
          <w:b/>
        </w:rPr>
        <w:t xml:space="preserve">Recyclability Percentage:</w:t>
      </w:r>
      <w:r>
        <w:t xml:space="preserve"> </w:t>
      </w:r>
      <w:r>
        <w:t xml:space="preserve">80% (qfgxoqpnlh)</w:t>
      </w:r>
    </w:p>
    <w:p>
      <w:pPr>
        <w:numPr>
          <w:ilvl w:val="0"/>
          <w:numId w:val="1005"/>
        </w:numPr>
        <w:pStyle w:val="Compact"/>
      </w:pPr>
      <w:r>
        <w:rPr>
          <w:bCs/>
          <w:b/>
        </w:rPr>
        <w:t xml:space="preserve">Circular/Take-back Programs:</w:t>
      </w:r>
      <w:r>
        <w:t xml:space="preserve"> </w:t>
      </w:r>
      <w:r>
        <w:t xml:space="preserve">Company-run return &amp; refurbishment program (vpvnnyrhuz). This program extends product lifespan and facilitates material recovery, reducing the need for virgin material production and diverting waste from landfill.</w:t>
      </w:r>
    </w:p>
    <w:p>
      <w:pPr>
        <w:numPr>
          <w:ilvl w:val="0"/>
          <w:numId w:val="1005"/>
        </w:numPr>
        <w:pStyle w:val="Compact"/>
      </w:pPr>
      <w:r>
        <w:rPr>
          <w:bCs/>
          <w:b/>
        </w:rPr>
        <w:t xml:space="preserve">Illustrative Recycling Credit:</w:t>
      </w:r>
      <w:r>
        <w:t xml:space="preserve"> </w:t>
      </w:r>
      <w:r>
        <w:t xml:space="preserve">-1.0 kgCO2e/kg for recycled materials (assuming displacement of virgin material production).</w:t>
      </w:r>
    </w:p>
    <w:p>
      <w:pPr>
        <w:numPr>
          <w:ilvl w:val="0"/>
          <w:numId w:val="1005"/>
        </w:numPr>
        <w:pStyle w:val="Compact"/>
      </w:pPr>
      <w:r>
        <w:rPr>
          <w:bCs/>
          <w:b/>
        </w:rPr>
        <w:t xml:space="preserve">Illustrative Landfill Emission Factor:</w:t>
      </w:r>
      <w:r>
        <w:t xml:space="preserve"> </w:t>
      </w:r>
      <w:r>
        <w:t xml:space="preserve">0.1 kgCO2e/kg (for non-recyclable portion, including transport and minor decomposition).</w:t>
      </w:r>
    </w:p>
    <w:p>
      <w:r>
        <w:pict>
          <v:rect style="width:0;height:1.5pt" o:hralign="center" o:hrstd="t" o:hr="t"/>
        </w:pict>
      </w:r>
    </w:p>
    <w:bookmarkEnd w:id="27"/>
    <w:bookmarkEnd w:id="28"/>
    <w:bookmarkStart w:id="43" w:name="calculate-emissions-co2e"/>
    <w:p>
      <w:pPr>
        <w:pStyle w:val="Heading2"/>
      </w:pPr>
      <w:r>
        <w:t xml:space="preserve">4. Calculate Emissions (CO2e)</w:t>
      </w:r>
    </w:p>
    <w:p>
      <w:pPr>
        <w:pStyle w:val="FirstParagraph"/>
      </w:pPr>
      <w:r>
        <w:t xml:space="preserve">This section details the calculation of greenhouse gas emissions across the product\'s lifecycle, categorized according to the GHG Protocol (Scope 1, 2, 3) and applying the 2026 LSR Update principles.</w:t>
      </w:r>
    </w:p>
    <w:bookmarkStart w:id="29" w:name="Xa4f87ced29214254ac031d3ff86e987ac86cb21"/>
    <w:p>
      <w:pPr>
        <w:pStyle w:val="Heading3"/>
      </w:pPr>
      <w:r>
        <w:t xml:space="preserve">Summary of Illustrative Emission Factors Used:</w:t>
      </w:r>
    </w:p>
    <w:p>
      <w:pPr>
        <w:numPr>
          <w:ilvl w:val="0"/>
          <w:numId w:val="1006"/>
        </w:numPr>
        <w:pStyle w:val="Compact"/>
      </w:pPr>
      <w:r>
        <w:rPr>
          <w:bCs/>
          <w:b/>
        </w:rPr>
        <w:t xml:space="preserve">Electricity (China Grid Average):</w:t>
      </w:r>
      <w:r>
        <w:t xml:space="preserve"> </w:t>
      </w:r>
      <w:r>
        <w:t xml:space="preserve">0.6 kgCO2e/kWh</w:t>
      </w:r>
    </w:p>
    <w:p>
      <w:pPr>
        <w:numPr>
          <w:ilvl w:val="0"/>
          <w:numId w:val="1006"/>
        </w:numPr>
        <w:pStyle w:val="Compact"/>
      </w:pPr>
      <w:r>
        <w:rPr>
          <w:bCs/>
          <w:b/>
        </w:rPr>
        <w:t xml:space="preserve">Road Freight (Heavy-duty Truck):</w:t>
      </w:r>
      <w:r>
        <w:t xml:space="preserve"> </w:t>
      </w:r>
      <w:r>
        <w:t xml:space="preserve">0.09 kgCO2e/tkm</w:t>
      </w:r>
    </w:p>
    <w:p>
      <w:pPr>
        <w:numPr>
          <w:ilvl w:val="0"/>
          <w:numId w:val="1006"/>
        </w:numPr>
        <w:pStyle w:val="Compact"/>
      </w:pPr>
      <w:r>
        <w:rPr>
          <w:bCs/>
          <w:b/>
        </w:rPr>
        <w:t xml:space="preserve">Parcel Delivery (Van):</w:t>
      </w:r>
      <w:r>
        <w:t xml:space="preserve"> </w:t>
      </w:r>
      <w:r>
        <w:t xml:space="preserve">0.5 kgCO2e/delivery</w:t>
      </w:r>
    </w:p>
    <w:p>
      <w:pPr>
        <w:numPr>
          <w:ilvl w:val="0"/>
          <w:numId w:val="1006"/>
        </w:numPr>
        <w:pStyle w:val="Compact"/>
      </w:pPr>
      <w:r>
        <w:rPr>
          <w:bCs/>
          <w:b/>
        </w:rPr>
        <w:t xml:space="preserve">Recycling Credit (Illustrative):</w:t>
      </w:r>
      <w:r>
        <w:t xml:space="preserve"> </w:t>
      </w:r>
      <w:r>
        <w:t xml:space="preserve">-1.0 kgCO2e/kg</w:t>
      </w:r>
    </w:p>
    <w:p>
      <w:pPr>
        <w:numPr>
          <w:ilvl w:val="0"/>
          <w:numId w:val="1006"/>
        </w:numPr>
        <w:pStyle w:val="Compact"/>
      </w:pPr>
      <w:r>
        <w:rPr>
          <w:bCs/>
          <w:b/>
        </w:rPr>
        <w:t xml:space="preserve">Landfill Burden (Illustrative):</w:t>
      </w:r>
      <w:r>
        <w:t xml:space="preserve"> </w:t>
      </w:r>
      <w:r>
        <w:t xml:space="preserve">0.1 kgCO2e/kg</w:t>
      </w:r>
    </w:p>
    <w:bookmarkEnd w:id="29"/>
    <w:bookmarkStart w:id="32" w:name="X26c7fa9db3afcabe6ea1d569b518f9a9e7839a5"/>
    <w:p>
      <w:pPr>
        <w:pStyle w:val="Heading3"/>
      </w:pPr>
      <w:r>
        <w:t xml:space="preserve">4.1. Upstream Emissions (Scope 3 - Purchased Goods &amp; Services, Upstream Transport)</w:t>
      </w:r>
    </w:p>
    <w:bookmarkStart w:id="30" w:name="X482fc617d1af98dd44983f6029ca9c8c088280f"/>
    <w:p>
      <w:pPr>
        <w:pStyle w:val="Heading4"/>
      </w:pPr>
      <w:r>
        <w:t xml:space="preserve">Materials (Scope 3, Category 1: Purchased goods and services)</w:t>
      </w:r>
    </w:p>
    <w:p>
      <w:pPr>
        <w:pStyle w:val="FirstParagraph"/>
      </w:pPr>
      <w:r>
        <w:t xml:space="preserve">Total carbon for materials is directly taken from the illustrative BOM\'s "Total Carbon" column, assuming these values represent the cradle-to-gate impact of the raw materials.</w:t>
      </w:r>
    </w:p>
    <w:p>
      <w:pPr>
        <w:numPr>
          <w:ilvl w:val="0"/>
          <w:numId w:val="1007"/>
        </w:numPr>
        <w:pStyle w:val="Compact"/>
      </w:pPr>
      <w:r>
        <w:t xml:space="preserve">Aluminum Casing: 10.0 kgCO2e</w:t>
      </w:r>
    </w:p>
    <w:p>
      <w:pPr>
        <w:numPr>
          <w:ilvl w:val="0"/>
          <w:numId w:val="1007"/>
        </w:numPr>
        <w:pStyle w:val="Compact"/>
      </w:pPr>
      <w:r>
        <w:t xml:space="preserve">Recycled Plastic Housing: 0.5 kgCO2e</w:t>
      </w:r>
    </w:p>
    <w:p>
      <w:pPr>
        <w:numPr>
          <w:ilvl w:val="0"/>
          <w:numId w:val="1007"/>
        </w:numPr>
        <w:pStyle w:val="Compact"/>
      </w:pPr>
      <w:r>
        <w:t xml:space="preserve">Circuit Board (PCB): 3.0 kgCO2e</w:t>
      </w:r>
    </w:p>
    <w:p>
      <w:pPr>
        <w:numPr>
          <w:ilvl w:val="0"/>
          <w:numId w:val="1007"/>
        </w:numPr>
        <w:pStyle w:val="Compact"/>
      </w:pPr>
      <w:r>
        <w:t xml:space="preserve">Lithium-ion Battery: 2.0 kgCO2e</w:t>
      </w:r>
    </w:p>
    <w:p>
      <w:pPr>
        <w:numPr>
          <w:ilvl w:val="0"/>
          <w:numId w:val="1007"/>
        </w:numPr>
        <w:pStyle w:val="Compact"/>
      </w:pPr>
      <w:r>
        <w:t xml:space="preserve">Packaging (Cardboard): 0.225 kgCO2e</w:t>
      </w:r>
    </w:p>
    <w:p>
      <w:pPr>
        <w:pStyle w:val="FirstParagraph"/>
      </w:pPr>
      <w:r>
        <w:rPr>
          <w:bCs/>
          <w:b/>
        </w:rPr>
        <w:t xml:space="preserve">Total Material Emissions: 10.0 + 0.5 + 3.0 + 2.0 + 0.225 = 15.725 kgCO2e</w:t>
      </w:r>
    </w:p>
    <w:bookmarkEnd w:id="30"/>
    <w:bookmarkStart w:id="31" w:name="Xd768fcd1d2f32175f599b10e0c5cb08a8a12774"/>
    <w:p>
      <w:pPr>
        <w:pStyle w:val="Heading4"/>
      </w:pPr>
      <w:r>
        <w:t xml:space="preserve">Inbound Transport (Scope 3, Category 4: Upstream transportation and distribution)</w:t>
      </w:r>
    </w:p>
    <w:p>
      <w:pPr>
        <w:pStyle w:val="FirstParagraph"/>
      </w:pPr>
      <w:r>
        <w:t xml:space="preserve">Assuming the "Primary Transport Distance" and "Mode" apply to the main components being transported to the factory in China from Europe-focused supply chain. Product weight for transport is the total weight of the product (1.0 kg).</w:t>
      </w:r>
    </w:p>
    <w:p>
      <w:pPr>
        <w:numPr>
          <w:ilvl w:val="0"/>
          <w:numId w:val="1008"/>
        </w:numPr>
        <w:pStyle w:val="Compact"/>
      </w:pPr>
      <w:r>
        <w:t xml:space="preserve">Distance: 2500 km</w:t>
      </w:r>
    </w:p>
    <w:p>
      <w:pPr>
        <w:numPr>
          <w:ilvl w:val="0"/>
          <w:numId w:val="1008"/>
        </w:numPr>
        <w:pStyle w:val="Compact"/>
      </w:pPr>
      <w:r>
        <w:t xml:space="preserve">Mode: Road (Heavy-duty Truck)</w:t>
      </w:r>
    </w:p>
    <w:p>
      <w:pPr>
        <w:numPr>
          <w:ilvl w:val="0"/>
          <w:numId w:val="1008"/>
        </w:numPr>
        <w:pStyle w:val="Compact"/>
      </w:pPr>
      <w:r>
        <w:t xml:space="preserve">Product Weight: 1.0 kg (0.001 tonnes)</w:t>
      </w:r>
    </w:p>
    <w:p>
      <w:pPr>
        <w:numPr>
          <w:ilvl w:val="0"/>
          <w:numId w:val="1008"/>
        </w:numPr>
        <w:pStyle w:val="Compact"/>
      </w:pPr>
      <w:r>
        <w:t xml:space="preserve">Emission Factor: 0.09 kgCO2e/tkm</w:t>
      </w:r>
    </w:p>
    <w:p>
      <w:pPr>
        <w:pStyle w:val="FirstParagraph"/>
      </w:pPr>
      <w:r>
        <w:rPr>
          <w:bCs/>
          <w:b/>
        </w:rPr>
        <w:t xml:space="preserve">Inbound Transport Emissions: 0.001 tonnes * 2500 km * 0.09 kgCO2e/tkm = 0.225 kgCO2e</w:t>
      </w:r>
    </w:p>
    <w:bookmarkEnd w:id="31"/>
    <w:bookmarkEnd w:id="32"/>
    <w:bookmarkStart w:id="35" w:name="production-emissions-scope-1-2"/>
    <w:p>
      <w:pPr>
        <w:pStyle w:val="Heading3"/>
      </w:pPr>
      <w:r>
        <w:t xml:space="preserve">4.2. Production Emissions (Scope 1 &amp; 2)</w:t>
      </w:r>
    </w:p>
    <w:bookmarkStart w:id="33" w:name="scope-2-purchased-electricity"/>
    <w:p>
      <w:pPr>
        <w:pStyle w:val="Heading4"/>
      </w:pPr>
      <w:r>
        <w:t xml:space="preserve">Scope 2: Purchased Electricity</w:t>
      </w:r>
    </w:p>
    <w:p>
      <w:pPr>
        <w:pStyle w:val="FirstParagraph"/>
      </w:pPr>
      <w:r>
        <w:t xml:space="preserve">This calculation considers the non-renewable portion of electricity consumed during manufacturing.</w:t>
      </w:r>
    </w:p>
    <w:p>
      <w:pPr>
        <w:numPr>
          <w:ilvl w:val="0"/>
          <w:numId w:val="1009"/>
        </w:numPr>
        <w:pStyle w:val="Compact"/>
      </w:pPr>
      <w:r>
        <w:t xml:space="preserve">Energy Intensity: 50 kWh/unit</w:t>
      </w:r>
    </w:p>
    <w:p>
      <w:pPr>
        <w:numPr>
          <w:ilvl w:val="0"/>
          <w:numId w:val="1009"/>
        </w:numPr>
        <w:pStyle w:val="Compact"/>
      </w:pPr>
      <w:r>
        <w:t xml:space="preserve">Non-Renewable %: 25% (100% - 75% Renewable)</w:t>
      </w:r>
    </w:p>
    <w:p>
      <w:pPr>
        <w:numPr>
          <w:ilvl w:val="0"/>
          <w:numId w:val="1009"/>
        </w:numPr>
        <w:pStyle w:val="Compact"/>
      </w:pPr>
      <w:r>
        <w:t xml:space="preserve">Grid Emission Factor: 0.6 kgCO2e/kWh</w:t>
      </w:r>
    </w:p>
    <w:p>
      <w:pPr>
        <w:pStyle w:val="FirstParagraph"/>
      </w:pPr>
      <w:r>
        <w:rPr>
          <w:bCs/>
          <w:b/>
        </w:rPr>
        <w:t xml:space="preserve">Scope 2 Emissions: 50 kWh/unit * 0.25 * 0.6 kgCO2e/kWh = 7.5 kgCO2e</w:t>
      </w:r>
    </w:p>
    <w:bookmarkEnd w:id="33"/>
    <w:bookmarkStart w:id="34" w:name="scope-1-direct-emissions"/>
    <w:p>
      <w:pPr>
        <w:pStyle w:val="Heading4"/>
      </w:pPr>
      <w:r>
        <w:t xml:space="preserve">Scope 1: Direct Emissions</w:t>
      </w:r>
    </w:p>
    <w:p>
      <w:pPr>
        <w:pStyle w:val="FirstParagraph"/>
      </w:pPr>
      <w:r>
        <w:t xml:space="preserve">For this product, direct emissions (e.g., from owned vehicles, fugitive emissions) are assumed to be negligible given the \'factory_gate\' system boundary for primary production processes and no explicit information provided for these categories. If present, these would be quantified here.</w:t>
      </w:r>
    </w:p>
    <w:p>
      <w:pPr>
        <w:pStyle w:val="BodyText"/>
      </w:pPr>
      <w:r>
        <w:rPr>
          <w:bCs/>
          <w:b/>
        </w:rPr>
        <w:t xml:space="preserve">Total Scope 1 Emissions: 0.0 kgCO2e (Assumed negligible for this analysis)</w:t>
      </w:r>
    </w:p>
    <w:bookmarkEnd w:id="34"/>
    <w:bookmarkEnd w:id="35"/>
    <w:bookmarkStart w:id="39" w:name="X8d7216bcd6a80a1ba136c081355304fcfdddcdc"/>
    <w:p>
      <w:pPr>
        <w:pStyle w:val="Heading3"/>
      </w:pPr>
      <w:r>
        <w:t xml:space="preserve">4.3. Downstream Emissions (Scope 3 - Transport, Use, End-of-Life)</w:t>
      </w:r>
    </w:p>
    <w:bookmarkStart w:id="36" w:name="X2db5d49e1ef3b863408d5ddf3f750a120c9ae9b"/>
    <w:p>
      <w:pPr>
        <w:pStyle w:val="Heading4"/>
      </w:pPr>
      <w:r>
        <w:t xml:space="preserve">Outbound Transport &amp; Last-Mile Delivery (Scope 3, Category 9: Downstream transportation and distribution)</w:t>
      </w:r>
    </w:p>
    <w:p>
      <w:pPr>
        <w:pStyle w:val="FirstParagraph"/>
      </w:pPr>
      <w:r>
        <w:t xml:space="preserve">This covers the journey from the factory gate to the customer\'s location. Assuming the primary transport distance covers major distribution and "Parcel delivery (van)" for last-mile. For simplicity, we assume the 2500 km also covers the major outbound distribution to regional hubs before last mile.</w:t>
      </w:r>
    </w:p>
    <w:p>
      <w:pPr>
        <w:numPr>
          <w:ilvl w:val="0"/>
          <w:numId w:val="1010"/>
        </w:numPr>
        <w:pStyle w:val="Compact"/>
      </w:pPr>
      <w:r>
        <w:t xml:space="preserve">Primary Outbound Transport: 0.001 tonnes * 2500 km * 0.09 kgCO2e/tkm = 0.225 kgCO2e</w:t>
      </w:r>
    </w:p>
    <w:p>
      <w:pPr>
        <w:numPr>
          <w:ilvl w:val="0"/>
          <w:numId w:val="1010"/>
        </w:numPr>
        <w:pStyle w:val="Compact"/>
      </w:pPr>
      <w:r>
        <w:t xml:space="preserve">Last-Mile Delivery: 1 delivery * 0.5 kgCO2e/delivery = 0.5 kgCO2e</w:t>
      </w:r>
    </w:p>
    <w:p>
      <w:pPr>
        <w:pStyle w:val="FirstParagraph"/>
      </w:pPr>
      <w:r>
        <w:rPr>
          <w:bCs/>
          <w:b/>
        </w:rPr>
        <w:t xml:space="preserve">Total Outbound Transport Emissions: 0.225 + 0.5 = 0.725 kgCO2e</w:t>
      </w:r>
    </w:p>
    <w:bookmarkEnd w:id="36"/>
    <w:bookmarkStart w:id="37" w:name="Xc8d47610e025d3b1fe367d676386ecee874efa3"/>
    <w:p>
      <w:pPr>
        <w:pStyle w:val="Heading4"/>
      </w:pPr>
      <w:r>
        <w:t xml:space="preserve">Use Phase (Scope 3, Category 11: Use of sold products)</w:t>
      </w:r>
    </w:p>
    <w:p>
      <w:pPr>
        <w:pStyle w:val="FirstParagraph"/>
      </w:pPr>
      <w:r>
        <w:t xml:space="preserve">Emissions from the product\'s energy consumption during its lifespan.</w:t>
      </w:r>
    </w:p>
    <w:p>
      <w:pPr>
        <w:numPr>
          <w:ilvl w:val="0"/>
          <w:numId w:val="1011"/>
        </w:numPr>
        <w:pStyle w:val="Compact"/>
      </w:pPr>
      <w:r>
        <w:t xml:space="preserve">Energy Consumption: 10 kWh/year</w:t>
      </w:r>
    </w:p>
    <w:p>
      <w:pPr>
        <w:numPr>
          <w:ilvl w:val="0"/>
          <w:numId w:val="1011"/>
        </w:numPr>
        <w:pStyle w:val="Compact"/>
      </w:pPr>
      <w:r>
        <w:t xml:space="preserve">Product Lifespan: 5 years</w:t>
      </w:r>
    </w:p>
    <w:p>
      <w:pPr>
        <w:numPr>
          <w:ilvl w:val="0"/>
          <w:numId w:val="1011"/>
        </w:numPr>
        <w:pStyle w:val="Compact"/>
      </w:pPr>
      <w:r>
        <w:t xml:space="preserve">Grid Emission Factor: 0.6 kgCO2e/kWh</w:t>
      </w:r>
    </w:p>
    <w:p>
      <w:pPr>
        <w:pStyle w:val="FirstParagraph"/>
      </w:pPr>
      <w:r>
        <w:rPr>
          <w:bCs/>
          <w:b/>
        </w:rPr>
        <w:t xml:space="preserve">Use Phase Emissions: 10 kWh/year * 5 years * 0.6 kgCO2e/kWh = 30.0 kgCO2e</w:t>
      </w:r>
    </w:p>
    <w:bookmarkEnd w:id="37"/>
    <w:bookmarkStart w:id="38" w:name="X9982929b618de862c11111658ccce8db3e98553"/>
    <w:p>
      <w:pPr>
        <w:pStyle w:val="Heading4"/>
      </w:pPr>
      <w:r>
        <w:t xml:space="preserve">End-of-Life (EoL) (Scope 3, Category 12: End-of-life treatment of sold products)</w:t>
      </w:r>
    </w:p>
    <w:p>
      <w:pPr>
        <w:pStyle w:val="FirstParagraph"/>
      </w:pPr>
      <w:r>
        <w:t xml:space="preserve">Calculations based on recyclability and disposal scenarios, considering the total product weight (1.0 kg).</w:t>
      </w:r>
    </w:p>
    <w:p>
      <w:pPr>
        <w:numPr>
          <w:ilvl w:val="0"/>
          <w:numId w:val="1012"/>
        </w:numPr>
        <w:pStyle w:val="Compact"/>
      </w:pPr>
      <w:r>
        <w:t xml:space="preserve">Recyclable Portion: 80% (0.8 kg)</w:t>
      </w:r>
    </w:p>
    <w:p>
      <w:pPr>
        <w:numPr>
          <w:ilvl w:val="0"/>
          <w:numId w:val="1012"/>
        </w:numPr>
        <w:pStyle w:val="Compact"/>
      </w:pPr>
      <w:r>
        <w:t xml:space="preserve">Non-Recyclable Portion (to landfill): 20% (0.2 kg)</w:t>
      </w:r>
    </w:p>
    <w:p>
      <w:pPr>
        <w:numPr>
          <w:ilvl w:val="0"/>
          <w:numId w:val="1012"/>
        </w:numPr>
        <w:pStyle w:val="Compact"/>
      </w:pPr>
      <w:r>
        <w:t xml:space="preserve">Recycling Credit: 0.8 kg * -1.0 kgCO2e/kg = -0.8 kgCO2e (Credit for avoided virgin material)</w:t>
      </w:r>
    </w:p>
    <w:p>
      <w:pPr>
        <w:numPr>
          <w:ilvl w:val="0"/>
          <w:numId w:val="1012"/>
        </w:numPr>
        <w:pStyle w:val="Compact"/>
      </w:pPr>
      <w:r>
        <w:t xml:space="preserve">Landfill Burden: 0.2 kg * 0.1 kgCO2e/kg = 0.02 kgCO2e</w:t>
      </w:r>
    </w:p>
    <w:p>
      <w:pPr>
        <w:numPr>
          <w:ilvl w:val="0"/>
          <w:numId w:val="1012"/>
        </w:numPr>
        <w:pStyle w:val="Compact"/>
      </w:pPr>
      <w:r>
        <w:rPr>
          <w:bCs/>
          <w:b/>
        </w:rPr>
        <w:t xml:space="preserve">Circular/Take-back Programs:</w:t>
      </w:r>
      <w:r>
        <w:t xml:space="preserve"> </w:t>
      </w:r>
      <w:r>
        <w:t xml:space="preserve">The company-run return &amp; refurbishment program further enhances circularity by extending product life and optimizing material recovery, which would lead to additional avoided emissions not explicitly quantified here but would reduce the overall "new product" demand and associated emissions.</w:t>
      </w:r>
    </w:p>
    <w:p>
      <w:pPr>
        <w:pStyle w:val="FirstParagraph"/>
      </w:pPr>
      <w:r>
        <w:rPr>
          <w:bCs/>
          <w:b/>
        </w:rPr>
        <w:t xml:space="preserve">Total End-of-Life Emissions: -0.8 + 0.02 = -0.78 kgCO2e</w:t>
      </w:r>
      <w:r>
        <w:t xml:space="preserve"> </w:t>
      </w:r>
      <w:r>
        <w:t xml:space="preserve">(Net credit due to high recyclability and circular programs)</w:t>
      </w:r>
    </w:p>
    <w:bookmarkEnd w:id="38"/>
    <w:bookmarkEnd w:id="39"/>
    <w:bookmarkStart w:id="40" w:name="total-product-carbon-footprint"/>
    <w:p>
      <w:pPr>
        <w:pStyle w:val="Heading3"/>
      </w:pPr>
      <w:r>
        <w:t xml:space="preserve">4.4. Total Product Carbon Footprint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Materials</w:t>
            </w:r>
          </w:p>
        </w:tc>
        <w:tc>
          <w:tcPr/>
          <w:p>
            <w:pPr>
              <w:pStyle w:val="Compact"/>
              <w:jc w:val="left"/>
            </w:pPr>
            <w:r>
              <w:t xml:space="preserve">Scope 3 (Category 1)</w:t>
            </w:r>
          </w:p>
        </w:tc>
        <w:tc>
          <w:tcPr/>
          <w:p>
            <w:pPr>
              <w:pStyle w:val="Compact"/>
              <w:jc w:val="left"/>
            </w:pPr>
            <w:r>
              <w:t xml:space="preserve">15.725</w:t>
            </w:r>
          </w:p>
        </w:tc>
      </w:tr>
      <w:tr>
        <w:tc>
          <w:tcPr/>
          <w:p>
            <w:pPr>
              <w:pStyle w:val="Compact"/>
              <w:jc w:val="left"/>
            </w:pPr>
            <w:r>
              <w:t xml:space="preserve">Inbound Transport</w:t>
            </w:r>
          </w:p>
        </w:tc>
        <w:tc>
          <w:tcPr/>
          <w:p>
            <w:pPr>
              <w:pStyle w:val="Compact"/>
              <w:jc w:val="left"/>
            </w:pPr>
            <w:r>
              <w:t xml:space="preserve">Scope 3 (Category 4)</w:t>
            </w:r>
          </w:p>
        </w:tc>
        <w:tc>
          <w:tcPr/>
          <w:p>
            <w:pPr>
              <w:pStyle w:val="Compact"/>
              <w:jc w:val="left"/>
            </w:pPr>
            <w:r>
              <w:t xml:space="preserve">0.225</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7.500</w:t>
            </w:r>
          </w:p>
        </w:tc>
      </w:tr>
      <w:tr>
        <w:tc>
          <w:tcPr/>
          <w:p>
            <w:pPr>
              <w:pStyle w:val="Compact"/>
              <w:jc w:val="left"/>
            </w:pPr>
            <w:r>
              <w:t xml:space="preserve">Production (Direct Emissions)</w:t>
            </w:r>
          </w:p>
        </w:tc>
        <w:tc>
          <w:tcPr/>
          <w:p>
            <w:pPr>
              <w:pStyle w:val="Compact"/>
              <w:jc w:val="left"/>
            </w:pPr>
            <w:r>
              <w:t xml:space="preserve">Scope 1</w:t>
            </w:r>
          </w:p>
        </w:tc>
        <w:tc>
          <w:tcPr/>
          <w:p>
            <w:pPr>
              <w:pStyle w:val="Compact"/>
              <w:jc w:val="left"/>
            </w:pPr>
            <w:r>
              <w:t xml:space="preserve">0.000</w:t>
            </w:r>
          </w:p>
        </w:tc>
      </w:tr>
      <w:tr>
        <w:tc>
          <w:tcPr/>
          <w:p>
            <w:pPr>
              <w:pStyle w:val="Compact"/>
              <w:jc w:val="left"/>
            </w:pPr>
            <w:r>
              <w:t xml:space="preserve">Outbound Transport &amp; Last-Mile</w:t>
            </w:r>
          </w:p>
        </w:tc>
        <w:tc>
          <w:tcPr/>
          <w:p>
            <w:pPr>
              <w:pStyle w:val="Compact"/>
              <w:jc w:val="left"/>
            </w:pPr>
            <w:r>
              <w:t xml:space="preserve">Scope 3 (Category 9)</w:t>
            </w:r>
          </w:p>
        </w:tc>
        <w:tc>
          <w:tcPr/>
          <w:p>
            <w:pPr>
              <w:pStyle w:val="Compact"/>
              <w:jc w:val="left"/>
            </w:pPr>
            <w:r>
              <w:t xml:space="preserve">0.725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30.000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-0.780</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53.395</w:t>
            </w:r>
          </w:p>
        </w:tc>
      </w:tr>
    </w:tbl>
    <w:p>
      <w:pPr>
        <w:pStyle w:val="BodyText"/>
      </w:pPr>
      <w:r>
        <w:rPr>
          <w:bCs/>
          <w:b/>
        </w:rPr>
        <w:t xml:space="preserve">Total Product Carbon Footprint (PCF): 53.395 kgCO2e per functional unit of "Sustainable Widget 2000".</w:t>
      </w:r>
    </w:p>
    <w:bookmarkEnd w:id="40"/>
    <w:bookmarkStart w:id="41" w:name="lsr-update-application"/>
    <w:p>
      <w:pPr>
        <w:pStyle w:val="Heading3"/>
      </w:pPr>
      <w:r>
        <w:t xml:space="preserve">4.5. 2026 LSR Update Application</w:t>
      </w:r>
    </w:p>
    <w:p>
      <w:pPr>
        <w:pStyle w:val="FirstParagraph"/>
      </w:pPr>
      <w:r>
        <w:t xml:space="preserve">The Land Sector and Removals (LSR) Standard (2026 update) is acknowledged. For this product (Sustainable Widget 2000), which appears to be manufactured goods with no explicit mention of bio-based materials or direct land-use change impacts in its primary supply chain, the direct quantification of LSR-specific emissions or removals is limited. However, principles of robust accounting for removals (e.g., carbon sequestration in packaging if specified, or through bio-based materials) would be applied if relevant data were available. The current analysis reflects net removals at EoL due to recycling, which aligns with the spirit of reducing overall atmospheric GHG. For a comprehensive LSR application, a deeper dive into the origin of specific bio-based materials (if any) and their land-use history would be required.</w:t>
      </w:r>
    </w:p>
    <w:bookmarkEnd w:id="41"/>
    <w:bookmarkStart w:id="42" w:name="scope-3-compliance-95-coverage"/>
    <w:p>
      <w:pPr>
        <w:pStyle w:val="Heading3"/>
      </w:pPr>
      <w:r>
        <w:t xml:space="preserve">4.6. Scope 3 Compliance (95% Coverage)</w:t>
      </w:r>
    </w:p>
    <w:p>
      <w:pPr>
        <w:pStyle w:val="FirstParagraph"/>
      </w:pPr>
      <w:r>
        <w:t xml:space="preserve">This analysis has endeavored to achieve at least 95% coverage for Scope 3 emissions as per 2026 requirements by including significant categories:</w:t>
      </w:r>
    </w:p>
    <w:p>
      <w:pPr>
        <w:numPr>
          <w:ilvl w:val="0"/>
          <w:numId w:val="1013"/>
        </w:numPr>
        <w:pStyle w:val="Compact"/>
      </w:pPr>
      <w:r>
        <w:t xml:space="preserve">Category 1: Purchased goods and services (materials)</w:t>
      </w:r>
    </w:p>
    <w:p>
      <w:pPr>
        <w:numPr>
          <w:ilvl w:val="0"/>
          <w:numId w:val="1013"/>
        </w:numPr>
        <w:pStyle w:val="Compact"/>
      </w:pPr>
      <w:r>
        <w:t xml:space="preserve">Category 4: Upstream transportation and distribution</w:t>
      </w:r>
    </w:p>
    <w:p>
      <w:pPr>
        <w:numPr>
          <w:ilvl w:val="0"/>
          <w:numId w:val="1013"/>
        </w:numPr>
        <w:pStyle w:val="Compact"/>
      </w:pPr>
      <w:r>
        <w:t xml:space="preserve">Category 9: Downstream transportation and distribution</w:t>
      </w:r>
    </w:p>
    <w:p>
      <w:pPr>
        <w:numPr>
          <w:ilvl w:val="0"/>
          <w:numId w:val="1013"/>
        </w:numPr>
        <w:pStyle w:val="Compact"/>
      </w:pPr>
      <w:r>
        <w:t xml:space="preserve">Category 11: Use of sold products</w:t>
      </w:r>
    </w:p>
    <w:p>
      <w:pPr>
        <w:numPr>
          <w:ilvl w:val="0"/>
          <w:numId w:val="1013"/>
        </w:numPr>
        <w:pStyle w:val="Compact"/>
      </w:pPr>
      <w:r>
        <w:t xml:space="preserve">Category 12: End-of-life treatment of sold products</w:t>
      </w:r>
    </w:p>
    <w:p>
      <w:pPr>
        <w:pStyle w:val="FirstParagraph"/>
      </w:pPr>
      <w:r>
        <w:t xml:space="preserve">Given the placeholder data, the most significant potential gaps would be in less material-intensive purchased goods or services not covered by the BOM, or more granular detail on Category 3 (Fuel- and energy-related activities not included in scope 1 or 2) for complex manufacturing processes. However, for a typical PCF, the calculated categories often represent the vast majority of emissions.</w:t>
      </w:r>
    </w:p>
    <w:p>
      <w:r>
        <w:pict>
          <v:rect style="width:0;height:1.5pt" o:hralign="center" o:hrstd="t" o:hr="t"/>
        </w:pict>
      </w:r>
    </w:p>
    <w:bookmarkEnd w:id="42"/>
    <w:bookmarkEnd w:id="43"/>
    <w:bookmarkStart w:id="47" w:name="review-report"/>
    <w:p>
      <w:pPr>
        <w:pStyle w:val="Heading2"/>
      </w:pPr>
      <w:r>
        <w:t xml:space="preserve">5. Review &amp; Report</w:t>
      </w:r>
    </w:p>
    <w:p>
      <w:pPr>
        <w:pStyle w:val="FirstParagraph"/>
      </w:pPr>
      <w:r>
        <w:t xml:space="preserve">This section summarizes the findings, identifies hotspots, and provides insights into the reliability of the assessment.</w:t>
      </w:r>
    </w:p>
    <w:bookmarkStart w:id="44" w:name="emission-hotspots"/>
    <w:p>
      <w:pPr>
        <w:pStyle w:val="Heading3"/>
      </w:pPr>
      <w:r>
        <w:t xml:space="preserve">5.1. Emission Hotspots</w:t>
      </w:r>
    </w:p>
    <w:p>
      <w:pPr>
        <w:pStyle w:val="FirstParagraph"/>
      </w:pPr>
      <w:r>
        <w:t xml:space="preserve">Based on the calculations, the primary emission hotspots for the "Sustainable Widget 2000" are:</w:t>
      </w:r>
    </w:p>
    <w:p>
      <w:pPr>
        <w:numPr>
          <w:ilvl w:val="0"/>
          <w:numId w:val="1014"/>
        </w:numPr>
        <w:pStyle w:val="Compact"/>
      </w:pPr>
      <w:r>
        <w:rPr>
          <w:bCs/>
          <w:b/>
        </w:rPr>
        <w:t xml:space="preserve">Use Phase (30.0 kgCO2e / 56.19% of total):</w:t>
      </w:r>
      <w:r>
        <w:t xml:space="preserve"> </w:t>
      </w:r>
      <w:r>
        <w:t xml:space="preserve">This is the dominant contributor, primarily due to the energy consumption over the product\'s 5-year lifespan.</w:t>
      </w:r>
    </w:p>
    <w:p>
      <w:pPr>
        <w:numPr>
          <w:ilvl w:val="0"/>
          <w:numId w:val="1014"/>
        </w:numPr>
        <w:pStyle w:val="Compact"/>
      </w:pPr>
      <w:r>
        <w:rPr>
          <w:bCs/>
          <w:b/>
        </w:rPr>
        <w:t xml:space="preserve">Materials (15.725 kgCO2e / 29.45% of total):</w:t>
      </w:r>
      <w:r>
        <w:t xml:space="preserve"> </w:t>
      </w:r>
      <w:r>
        <w:t xml:space="preserve">The embodied carbon in raw materials, particularly aluminum and electronic components, represents a significant portion.</w:t>
      </w:r>
    </w:p>
    <w:p>
      <w:pPr>
        <w:numPr>
          <w:ilvl w:val="0"/>
          <w:numId w:val="1014"/>
        </w:numPr>
        <w:pStyle w:val="Compact"/>
      </w:pPr>
      <w:r>
        <w:rPr>
          <w:bCs/>
          <w:b/>
        </w:rPr>
        <w:t xml:space="preserve">Production Energy (7.5 kgCO2e / 14.05% of total):</w:t>
      </w:r>
      <w:r>
        <w:t xml:space="preserve"> </w:t>
      </w:r>
      <w:r>
        <w:t xml:space="preserve">Despite 75% renewable energy usage, the remaining non-renewable grid electricity contributes notably.</w:t>
      </w:r>
    </w:p>
    <w:bookmarkEnd w:id="44"/>
    <w:bookmarkStart w:id="46" w:name="reliability-recommendations"/>
    <w:p>
      <w:pPr>
        <w:pStyle w:val="Heading3"/>
      </w:pPr>
      <w:r>
        <w:t xml:space="preserve">5.2. Reliability &amp; Recommendations</w:t>
      </w:r>
    </w:p>
    <w:p>
      <w:pPr>
        <w:pStyle w:val="FirstParagraph"/>
      </w:pPr>
      <w:r>
        <w:t xml:space="preserve">The reliability of this PCF analysis is contingent upon the accuracy of the provided and assumed data. As many parameters were placeholders, the quantitative results should be considered illustrative. For a definitive PCF, primary data from suppliers, precise energy consumption measurements, and specific transport logistics would be crucial.</w:t>
      </w:r>
    </w:p>
    <w:bookmarkStart w:id="45" w:name="recommendations-for-emission-reduction"/>
    <w:p>
      <w:pPr>
        <w:pStyle w:val="Heading4"/>
      </w:pPr>
      <w:r>
        <w:t xml:space="preserve">Recommendations for Emission Reduction:</w:t>
      </w:r>
    </w:p>
    <w:p>
      <w:pPr>
        <w:numPr>
          <w:ilvl w:val="0"/>
          <w:numId w:val="1015"/>
        </w:numPr>
        <w:pStyle w:val="Compact"/>
      </w:pPr>
      <w:r>
        <w:rPr>
          <w:bCs/>
          <w:b/>
        </w:rPr>
        <w:t xml:space="preserve">Optimize Use Phase:</w:t>
      </w:r>
      <w:r>
        <w:t xml:space="preserve"> </w:t>
      </w:r>
      <w:r>
        <w:t xml:space="preserve">Invest in R&amp;D for more energy-efficient product designs. Explore smart features that reduce power consumption or enable longer stand-by modes. Educate consumers on efficient product use.</w:t>
      </w:r>
    </w:p>
    <w:p>
      <w:pPr>
        <w:numPr>
          <w:ilvl w:val="0"/>
          <w:numId w:val="1015"/>
        </w:numPr>
        <w:pStyle w:val="Compact"/>
      </w:pPr>
      <w:r>
        <w:rPr>
          <w:bCs/>
          <w:b/>
        </w:rPr>
        <w:t xml:space="preserve">Material Decarbonization:</w:t>
      </w:r>
      <w:r>
        <w:t xml:space="preserve"> </w:t>
      </w:r>
      <w:r>
        <w:t xml:space="preserve">Prioritize sourcing materials with lower embodied carbon, such as certified recycled content, bio-based alternatives, or materials produced with renewable energy. Engage suppliers to reduce their upstream emissions.</w:t>
      </w:r>
    </w:p>
    <w:p>
      <w:pPr>
        <w:numPr>
          <w:ilvl w:val="0"/>
          <w:numId w:val="1015"/>
        </w:numPr>
        <w:pStyle w:val="Compact"/>
      </w:pPr>
      <w:r>
        <w:rPr>
          <w:bCs/>
          <w:b/>
        </w:rPr>
        <w:t xml:space="preserve">Enhance Production Efficiency &amp; Renewable Energy:</w:t>
      </w:r>
      <w:r>
        <w:t xml:space="preserve"> </w:t>
      </w:r>
      <w:r>
        <w:t xml:space="preserve">Further increase the share of renewable energy beyond 75% at production facilities. Implement energy efficiency measures in manufacturing processes to reduce overall energy demand.</w:t>
      </w:r>
    </w:p>
    <w:p>
      <w:pPr>
        <w:numPr>
          <w:ilvl w:val="0"/>
          <w:numId w:val="1015"/>
        </w:numPr>
        <w:pStyle w:val="Compact"/>
      </w:pPr>
      <w:r>
        <w:rPr>
          <w:bCs/>
          <w:b/>
        </w:rPr>
        <w:t xml:space="preserve">Strengthen Circularity:</w:t>
      </w:r>
      <w:r>
        <w:t xml:space="preserve"> </w:t>
      </w:r>
      <w:r>
        <w:t xml:space="preserve">Leverage the existing return &amp; refurbishment program to its full potential. Explore design for disassembly and modularity to facilitate repair and material recovery, expanding the lifespan of components and products.</w:t>
      </w:r>
    </w:p>
    <w:p>
      <w:pPr>
        <w:numPr>
          <w:ilvl w:val="0"/>
          <w:numId w:val="1015"/>
        </w:numPr>
        <w:pStyle w:val="Compact"/>
      </w:pPr>
      <w:r>
        <w:rPr>
          <w:bCs/>
          <w:b/>
        </w:rPr>
        <w:t xml:space="preserve">Logistics Optimization:</w:t>
      </w:r>
      <w:r>
        <w:t xml:space="preserve"> </w:t>
      </w:r>
      <w:r>
        <w:t xml:space="preserve">While smaller contributors in this analysis, continuously optimize transport routes, modes (e.g., shifting to lower-emission freight where feasible), and consolidation strategies.</w:t>
      </w:r>
    </w:p>
    <w:p>
      <w:r>
        <w:pict>
          <v:rect style="width:0;height:1.5pt" o:hralign="center" o:hrstd="t" o:hr="t"/>
        </w:pict>
      </w:r>
    </w:p>
    <w:p>
      <w:pPr>
        <w:pStyle w:val="FirstParagraph"/>
      </w:pPr>
      <w:r>
        <w:t xml:space="preserve">Confidential - Internal Use Only</w:t>
      </w:r>
    </w:p>
    <w:bookmarkEnd w:id="45"/>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Sustainable Widget 2000</dc:title>
  <dc:creator/>
  <dc:description>Detailed Product Carbon Footprint (PCF) analysis for the Sustainable Widget 2000 by EcoInnovate Corp., adhering to GHG Protocol and 2026 LSR Update standards.</dc:description>
  <cp:keywords/>
  <dcterms:created xsi:type="dcterms:W3CDTF">2026-07-15T13:40:46Z</dcterms:created>
  <dcterms:modified xsi:type="dcterms:W3CDTF">2026-07-15T13:40:46Z</dcterms:modified>
</cp:coreProperties>
</file>

<file path=docProps/custom.xml><?xml version="1.0" encoding="utf-8"?>
<Properties xmlns="http://schemas.openxmlformats.org/officeDocument/2006/custom-properties" xmlns:vt="http://schemas.openxmlformats.org/officeDocument/2006/docPropsVTypes"/>
</file>