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Sustainable</w:t>
      </w:r>
      <w:r>
        <w:t xml:space="preserve"> </w:t>
      </w:r>
      <w:r>
        <w:t xml:space="preserve">Gadget</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Sustainable Gadget X (ioidqerlym)</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mxrpvysqyf</w:t>
      </w:r>
    </w:p>
    <w:p>
      <w:pPr>
        <w:pStyle w:val="BodyText"/>
      </w:pPr>
      <w:r>
        <w:t xml:space="preserve">Senior Sustainability Consultant:</w:t>
      </w:r>
      <w:r>
        <w:t xml:space="preserve"> </w:t>
      </w:r>
      <w:r>
        <w:rPr>
          <w:bCs/>
          <w:b/>
        </w:rPr>
        <w:t xml:space="preserve">wudtyujyvo</w:t>
      </w:r>
    </w:p>
    <w:p>
      <w:pPr>
        <w:pStyle w:val="BodyText"/>
      </w:pPr>
      <w:r>
        <w:t xml:space="preserve">Disclaimer: This report is generated based on available data and industry standards.</w:t>
      </w:r>
      <w:r>
        <w:t xml:space="preserve"> </w:t>
      </w:r>
      <w:r>
        <w:t xml:space="preserve">The calculations rely on specified parameters and publicly available emission factors,</w:t>
      </w:r>
      <w:r>
        <w:t xml:space="preserve"> </w:t>
      </w:r>
      <w:r>
        <w:t xml:space="preserve">with certain assumptions made where primary data was not explicitly provided.</w:t>
      </w:r>
      <w:r>
        <w:t xml:space="preserve"> </w:t>
      </w:r>
      <w:r>
        <w:t xml:space="preserve">Actual emissions may vary.</w:t>
      </w:r>
    </w:p>
    <w:bookmarkEnd w:id="20"/>
    <w:bookmarkStart w:id="21" w:name="Xa87d010c1fd868336511b306fbd202996615f12"/>
    <w:p>
      <w:pPr>
        <w:pStyle w:val="Heading1"/>
      </w:pPr>
      <w:r>
        <w:t xml:space="preserve">Product Carbon Footprint Analysis Report</w:t>
      </w:r>
    </w:p>
    <w:p>
      <w:pPr>
        <w:pStyle w:val="FirstParagraph"/>
      </w:pPr>
      <w:r>
        <w:t xml:space="preserve">Generated Date: Wednesday,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"Sustainable Gadget X" (ioidqerlym) manufactured by mxrpvysqyf. The analysis adheres to the Greenhouse Gas (GHG) Protocol, incorporating the latest 2026 updates, including the Land Sector and Removals (LSR) Standard and the stringent 95% coverage rule for Scope 3 emissions. As Senior Sustainability Consultant, wudtyujyvo, has conducted this assessment to identify the primary sources of greenhouse gas emissions across the product\'s lifecycle, from material acquisition to end-of-life. The total Product Carbon Footprint for one functional unit of Sustainable Gadget X is **28.11 kgCO2e**. Key hotspots include the use phase, followed by material acquisition and manufacturing.</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was conducted following the five-step methodology prescribed by the GHG Protocol. This systematic approach ensures a comprehensive and transparent assessment of emissions associated with the product\'s entire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Sustainable Gadget X (ioidqerlym). This unit serves as the reference flow for all quantified inputs and outputs throughout the lifecycle.</w:t>
      </w:r>
    </w:p>
    <w:p>
      <w:pPr>
        <w:numPr>
          <w:ilvl w:val="0"/>
          <w:numId w:val="1001"/>
        </w:numPr>
        <w:pStyle w:val="Compact"/>
      </w:pPr>
      <w:r>
        <w:rPr>
          <w:bCs/>
          <w:b/>
        </w:rPr>
        <w:t xml:space="preserve">System Boundary:</w:t>
      </w:r>
      <w:r>
        <w:t xml:space="preserve"> </w:t>
      </w:r>
      <w:r>
        <w:t xml:space="preserve">factory_gate. This cradle-to-gate-plus-use-and-end-of-life boundary encompasses material extraction, manufacturing, transportation to the customer,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energy factors from China, and transportation and material acquisition impacts often originating from or destined for Europe.</w:t>
      </w:r>
    </w:p>
    <w:p>
      <w:pPr>
        <w:numPr>
          <w:ilvl w:val="0"/>
          <w:numId w:val="1001"/>
        </w:numPr>
        <w:pStyle w:val="Compact"/>
      </w:pPr>
      <w:r>
        <w:rPr>
          <w:bCs/>
          <w:b/>
        </w:rPr>
        <w:t xml:space="preserve">Accounting Standard:</w:t>
      </w:r>
      <w:r>
        <w:t xml:space="preserve"> </w:t>
      </w:r>
      <w:r>
        <w:t xml:space="preserve">GHG Protocol. This internationally recognized standard provides the framework for calculating and reporting greenhouse gas emissions, categorizing them into Scope 1, 2, and 3.</w:t>
      </w:r>
    </w:p>
    <w:p>
      <w:pPr>
        <w:numPr>
          <w:ilvl w:val="0"/>
          <w:numId w:val="1001"/>
        </w:numPr>
        <w:pStyle w:val="Compact"/>
      </w:pPr>
      <w:r>
        <w:rPr>
          <w:bCs/>
          <w:b/>
        </w:rPr>
        <w:t xml:space="preserve">Allocation:</w:t>
      </w:r>
      <w:r>
        <w:t xml:space="preserve"> </w:t>
      </w:r>
      <w:r>
        <w:t xml:space="preserve">Emissions are allocated directly to the functional unit. For shared processes (e.g., factory utilities), emissions are allocated proportionally based on the product\'s share of energy consumption or mass throughput.</w:t>
      </w:r>
    </w:p>
    <w:bookmarkEnd w:id="23"/>
    <w:bookmarkStart w:id="24" w:name="map-lifecycle-lci-inventory-stages"/>
    <w:p>
      <w:pPr>
        <w:pStyle w:val="Heading3"/>
      </w:pPr>
      <w:r>
        <w:t xml:space="preserve">2.2. Map Lifecycle (LCI Inventory Stages)</w:t>
      </w:r>
    </w:p>
    <w:p>
      <w:pPr>
        <w:pStyle w:val="FirstParagraph"/>
      </w:pPr>
      <w:r>
        <w:t xml:space="preserve">The lifecycle of the Sustainable Gadget X has been mapped into the following stages:</w:t>
      </w:r>
    </w:p>
    <w:p>
      <w:pPr>
        <w:numPr>
          <w:ilvl w:val="0"/>
          <w:numId w:val="1002"/>
        </w:numPr>
        <w:pStyle w:val="Compact"/>
      </w:pPr>
      <w:r>
        <w:rPr>
          <w:bCs/>
          <w:b/>
        </w:rPr>
        <w:t xml:space="preserve">Material Acquisition &amp; Processing (Upstream - Scope 3, Category 1):</w:t>
      </w:r>
      <w:r>
        <w:t xml:space="preserve"> </w:t>
      </w:r>
      <w:r>
        <w:t xml:space="preserve">Raw material extraction, processing, and manufacturing of components based on the Detailed Bill of Materials (BOM).</w:t>
      </w:r>
    </w:p>
    <w:p>
      <w:pPr>
        <w:numPr>
          <w:ilvl w:val="0"/>
          <w:numId w:val="1002"/>
        </w:numPr>
        <w:pStyle w:val="Compact"/>
      </w:pPr>
      <w:r>
        <w:rPr>
          <w:bCs/>
          <w:b/>
        </w:rPr>
        <w:t xml:space="preserve">Manufacturing (Core - Scope 2):</w:t>
      </w:r>
      <w:r>
        <w:t xml:space="preserve"> </w:t>
      </w:r>
      <w:r>
        <w:t xml:space="preserve">Energy consumption for assembly and production processes at the factory gate in China.</w:t>
      </w:r>
    </w:p>
    <w:p>
      <w:pPr>
        <w:numPr>
          <w:ilvl w:val="0"/>
          <w:numId w:val="1002"/>
        </w:numPr>
        <w:pStyle w:val="Compact"/>
      </w:pPr>
      <w:r>
        <w:rPr>
          <w:bCs/>
          <w:b/>
        </w:rPr>
        <w:t xml:space="preserve">Transportation (Upstream &amp; Downstream - Scope 3, Categories 4 &amp; 9):</w:t>
      </w:r>
      <w:r>
        <w:t xml:space="preserve"> </w:t>
      </w:r>
      <w:r>
        <w:t xml:space="preserve">Transport of raw materials/components to the factory, and transport of the finished product from the factory to the end customer, including last-mile delivery.</w:t>
      </w:r>
    </w:p>
    <w:p>
      <w:pPr>
        <w:numPr>
          <w:ilvl w:val="0"/>
          <w:numId w:val="1002"/>
        </w:numPr>
        <w:pStyle w:val="Compact"/>
      </w:pPr>
      <w:r>
        <w:rPr>
          <w:bCs/>
          <w:b/>
        </w:rPr>
        <w:t xml:space="preserve">Use Phase (Downstream - Scope 3, Category 11):</w:t>
      </w:r>
      <w:r>
        <w:t xml:space="preserve"> </w:t>
      </w:r>
      <w:r>
        <w:t xml:space="preserve">Energy consumption during the product\'s active lifespan.</w:t>
      </w:r>
    </w:p>
    <w:p>
      <w:pPr>
        <w:numPr>
          <w:ilvl w:val="0"/>
          <w:numId w:val="1002"/>
        </w:numPr>
        <w:pStyle w:val="Compact"/>
      </w:pPr>
      <w:r>
        <w:rPr>
          <w:bCs/>
          <w:b/>
        </w:rPr>
        <w:t xml:space="preserve">End-of-Life (Downstream - Scope 3, Category 12):</w:t>
      </w:r>
      <w:r>
        <w:t xml:space="preserve"> </w:t>
      </w:r>
      <w:r>
        <w:t xml:space="preserve">Emissions or avoided emissions associated with recycling and disposal of the product at the end of its useful life.</w:t>
      </w:r>
    </w:p>
    <w:bookmarkEnd w:id="24"/>
    <w:bookmarkStart w:id="27" w:name="Xb57f50a89bf1f3f1837369be949d9d60d6c1272"/>
    <w:p>
      <w:pPr>
        <w:pStyle w:val="Heading3"/>
      </w:pPr>
      <w:r>
        <w:t xml:space="preserve">2.3. Collect Data (Primary/Secondary Data Points)</w:t>
      </w:r>
    </w:p>
    <w:p>
      <w:pPr>
        <w:pStyle w:val="FirstParagraph"/>
      </w:pPr>
      <w:r>
        <w:t xml:space="preserve">Data collection involved a mix of primary data provided by mxrpvysqyf and secondary data from industry-standard databases and publications: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 - `rqmsplxg`):</w:t>
      </w:r>
      <w:r>
        <w:t xml:space="preserve"> </w:t>
      </w:r>
      <w:r>
        <w:t xml:space="preserve">Specific quantities, processes, and pre-calculated carbon impacts for each material.</w:t>
      </w:r>
    </w:p>
    <w:p>
      <w:pPr>
        <w:numPr>
          <w:ilvl w:val="1"/>
          <w:numId w:val="1004"/>
        </w:numPr>
        <w:pStyle w:val="Compact"/>
      </w:pPr>
      <w:r>
        <w:rPr>
          <w:bCs/>
          <w:b/>
        </w:rPr>
        <w:t xml:space="preserve">Transport Mode:</w:t>
      </w:r>
      <w:r>
        <w:t xml:space="preserve"> </w:t>
      </w:r>
      <w:r>
        <w:t xml:space="preserve">Select Mode (Ocean Freight, HGV, LCV).</w:t>
      </w:r>
    </w:p>
    <w:p>
      <w:pPr>
        <w:numPr>
          <w:ilvl w:val="1"/>
          <w:numId w:val="1004"/>
        </w:numPr>
        <w:pStyle w:val="Compact"/>
      </w:pPr>
      <w:r>
        <w:rPr>
          <w:bCs/>
          <w:b/>
        </w:rPr>
        <w:t xml:space="preserve">Transport Distance:</w:t>
      </w:r>
      <w:r>
        <w:t xml:space="preserve"> </w:t>
      </w:r>
      <w:r>
        <w:t xml:space="preserve">vtdrrofrnf (Assumed values for different legs).</w:t>
      </w:r>
    </w:p>
    <w:p>
      <w:pPr>
        <w:numPr>
          <w:ilvl w:val="1"/>
          <w:numId w:val="1004"/>
        </w:numPr>
        <w:pStyle w:val="Compact"/>
      </w:pPr>
      <w:r>
        <w:rPr>
          <w:bCs/>
          <w:b/>
        </w:rPr>
        <w:t xml:space="preserve">Last-Mile Delivery Channel:</w:t>
      </w:r>
      <w:r>
        <w:t xml:space="preserve"> </w:t>
      </w:r>
      <w:r>
        <w:t xml:space="preserve">Delivery Type (LCV).</w:t>
      </w:r>
    </w:p>
    <w:p>
      <w:pPr>
        <w:numPr>
          <w:ilvl w:val="1"/>
          <w:numId w:val="1004"/>
        </w:numPr>
        <w:pStyle w:val="Compact"/>
      </w:pPr>
      <w:r>
        <w:rPr>
          <w:bCs/>
          <w:b/>
        </w:rPr>
        <w:t xml:space="preserve">Renewable Energy Usage:</w:t>
      </w:r>
      <w:r>
        <w:t xml:space="preserve"> </w:t>
      </w:r>
      <w:r>
        <w:t xml:space="preserve">ksnmmsouft (30% at production facility).</w:t>
      </w:r>
    </w:p>
    <w:p>
      <w:pPr>
        <w:numPr>
          <w:ilvl w:val="1"/>
          <w:numId w:val="1004"/>
        </w:numPr>
        <w:pStyle w:val="Compact"/>
      </w:pPr>
      <w:r>
        <w:rPr>
          <w:bCs/>
          <w:b/>
        </w:rPr>
        <w:t xml:space="preserve">Energy Intensity (kWh/unit):</w:t>
      </w:r>
      <w:r>
        <w:t xml:space="preserve"> </w:t>
      </w:r>
      <w:r>
        <w:t xml:space="preserve">ypdjwrxpfo (15 kWh/unit for production).</w:t>
      </w:r>
    </w:p>
    <w:p>
      <w:pPr>
        <w:numPr>
          <w:ilvl w:val="1"/>
          <w:numId w:val="1004"/>
        </w:numPr>
        <w:pStyle w:val="Compact"/>
      </w:pPr>
      <w:r>
        <w:rPr>
          <w:bCs/>
          <w:b/>
        </w:rPr>
        <w:t xml:space="preserve">Product Lifespan:</w:t>
      </w:r>
      <w:r>
        <w:t xml:space="preserve"> </w:t>
      </w:r>
      <w:r>
        <w:t xml:space="preserve">txtsxmwroj (3 years).</w:t>
      </w:r>
    </w:p>
    <w:p>
      <w:pPr>
        <w:numPr>
          <w:ilvl w:val="1"/>
          <w:numId w:val="1004"/>
        </w:numPr>
        <w:pStyle w:val="Compact"/>
      </w:pPr>
      <w:r>
        <w:rPr>
          <w:bCs/>
          <w:b/>
        </w:rPr>
        <w:t xml:space="preserve">Energy Consumption in Use:</w:t>
      </w:r>
      <w:r>
        <w:t xml:space="preserve"> </w:t>
      </w:r>
      <w:r>
        <w:t xml:space="preserve">vonogwytlo (20 kWh/year).</w:t>
      </w:r>
    </w:p>
    <w:p>
      <w:pPr>
        <w:numPr>
          <w:ilvl w:val="1"/>
          <w:numId w:val="1004"/>
        </w:numPr>
        <w:pStyle w:val="Compact"/>
      </w:pPr>
      <w:r>
        <w:rPr>
          <w:bCs/>
          <w:b/>
        </w:rPr>
        <w:t xml:space="preserve">Recyclability Percentage:</w:t>
      </w:r>
      <w:r>
        <w:t xml:space="preserve"> </w:t>
      </w:r>
      <w:r>
        <w:t xml:space="preserve">otfhkkskzw (70%).</w:t>
      </w:r>
    </w:p>
    <w:p>
      <w:pPr>
        <w:numPr>
          <w:ilvl w:val="1"/>
          <w:numId w:val="1004"/>
        </w:numPr>
        <w:pStyle w:val="Compact"/>
      </w:pPr>
      <w:r>
        <w:rPr>
          <w:bCs/>
          <w:b/>
        </w:rPr>
        <w:t xml:space="preserve">Circular/Take-back Programs:</w:t>
      </w:r>
      <w:r>
        <w:t xml:space="preserve"> </w:t>
      </w:r>
      <w:r>
        <w:t xml:space="preserve">nqjwjnxfti ("Product Take-back Program in Place").</w:t>
      </w:r>
    </w:p>
    <w:p>
      <w:pPr>
        <w:numPr>
          <w:ilvl w:val="0"/>
          <w:numId w:val="1003"/>
        </w:numPr>
        <w:pStyle w:val="Compact"/>
      </w:pPr>
      <w:r>
        <w:rPr>
          <w:bCs/>
          <w:b/>
        </w:rPr>
        <w:t xml:space="preserve">Secondary Data:</w:t>
      </w:r>
      <w:r>
        <w:t xml:space="preserve"> </w:t>
      </w:r>
      <w:r>
        <w:t xml:space="preserve">Industry-standard emission factors (e.g., for electricity grids, transportation modes, and waste treatment) were sourced from reputable databases like Ecoinvent/DEFRA equivalents, IEA, MEE, EPA, and various academic/industry reports. Specific values used are detailed in the calculation section.</w:t>
      </w:r>
      <w:r>
        <w:br/>
      </w:r>
      <w:r>
        <w:rPr>
          <w:iCs/>
          <w:i/>
        </w:rPr>
        <w:t xml:space="preserve">Note on Emission Factors: Where explicit Ecoinvent/DEFRA values were not provided, common industry averages were selected from the search results to represent the respective activities. These are clearly cited.</w:t>
      </w:r>
    </w:p>
    <w:bookmarkStart w:id="25" w:name="detailed-breakdown-of-materials-from-bom"/>
    <w:p>
      <w:pPr>
        <w:pStyle w:val="Heading4"/>
      </w:pPr>
      <w:r>
        <w:t xml:space="preserve">Detailed Breakdown of Materials (from BOM)</w:t>
      </w:r>
    </w:p>
    <w:p>
      <w:pPr>
        <w:pStyle w:val="FirstParagraph"/>
      </w:pPr>
      <w:r>
        <w:t xml:space="preserve">The provided Bill of Materials (BOM) for Sustainable Gadget X is critical for an accurate material impact calculation. The \'Total Carbon\' values from the BOM are used directly for the material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5.21 kgCO2e</w:t>
            </w:r>
          </w:p>
        </w:tc>
      </w:tr>
    </w:tbl>
    <w:bookmarkEnd w:id="25"/>
    <w:bookmarkStart w:id="26" w:name="energy-inputs-and-customization"/>
    <w:p>
      <w:pPr>
        <w:pStyle w:val="Heading4"/>
      </w:pPr>
      <w:r>
        <w:t xml:space="preserve">Energy Inputs and Customization</w:t>
      </w:r>
    </w:p>
    <w:p>
      <w:pPr>
        <w:numPr>
          <w:ilvl w:val="0"/>
          <w:numId w:val="1005"/>
        </w:numPr>
        <w:pStyle w:val="Compact"/>
      </w:pPr>
      <w:r>
        <w:rPr>
          <w:bCs/>
          <w:b/>
        </w:rPr>
        <w:t xml:space="preserve">Production Energy Intensity:</w:t>
      </w:r>
      <w:r>
        <w:t xml:space="preserve"> </w:t>
      </w:r>
      <w:r>
        <w:t xml:space="preserve">15 kWh/unit [cite: User Provided]</w:t>
      </w:r>
    </w:p>
    <w:p>
      <w:pPr>
        <w:numPr>
          <w:ilvl w:val="0"/>
          <w:numId w:val="1005"/>
        </w:numPr>
        <w:pStyle w:val="Compact"/>
      </w:pPr>
      <w:r>
        <w:rPr>
          <w:bCs/>
          <w:b/>
        </w:rPr>
        <w:t xml:space="preserve">Renewable Energy Usage in Production:</w:t>
      </w:r>
      <w:r>
        <w:t xml:space="preserve"> </w:t>
      </w:r>
      <w:r>
        <w:t xml:space="preserve">30% [cite: User Provided]</w:t>
      </w:r>
    </w:p>
    <w:p>
      <w:pPr>
        <w:numPr>
          <w:ilvl w:val="0"/>
          <w:numId w:val="1005"/>
        </w:numPr>
        <w:pStyle w:val="Compact"/>
      </w:pPr>
      <w:r>
        <w:rPr>
          <w:bCs/>
          <w:b/>
        </w:rPr>
        <w:t xml:space="preserve">Product Lifespan:</w:t>
      </w:r>
      <w:r>
        <w:t xml:space="preserve"> </w:t>
      </w:r>
      <w:r>
        <w:t xml:space="preserve">3 years [cite: User Provided]</w:t>
      </w:r>
    </w:p>
    <w:p>
      <w:pPr>
        <w:numPr>
          <w:ilvl w:val="0"/>
          <w:numId w:val="1005"/>
        </w:numPr>
        <w:pStyle w:val="Compact"/>
      </w:pPr>
      <w:r>
        <w:rPr>
          <w:bCs/>
          <w:b/>
        </w:rPr>
        <w:t xml:space="preserve">Energy Consumption in Use:</w:t>
      </w:r>
      <w:r>
        <w:t xml:space="preserve"> </w:t>
      </w:r>
      <w:r>
        <w:t xml:space="preserve">20 kWh/year [cite: User Provided]</w:t>
      </w:r>
    </w:p>
    <w:p>
      <w:r>
        <w:pict>
          <v:rect style="width:0;height:1.5pt" o:hralign="center" o:hrstd="t" o:hr="t"/>
        </w:pict>
      </w:r>
    </w:p>
    <w:bookmarkEnd w:id="26"/>
    <w:bookmarkEnd w:id="27"/>
    <w:bookmarkEnd w:id="28"/>
    <w:bookmarkStart w:id="36"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based on activity data multiplied by relevant emission factors. All results are expressed in kilograms of carbon dioxide equivalent (kgCO2e).</w:t>
      </w:r>
    </w:p>
    <w:bookmarkStart w:id="29" w:name="assumptions-for-emission-factors"/>
    <w:p>
      <w:pPr>
        <w:pStyle w:val="Heading3"/>
      </w:pPr>
      <w:r>
        <w:t xml:space="preserve">3.1. Assumptions for Emission Factors</w:t>
      </w:r>
    </w:p>
    <w:p>
      <w:pPr>
        <w:pStyle w:val="FirstParagraph"/>
      </w:pPr>
      <w:r>
        <w:t xml:space="preserve">Where specific primary data or precise Ecoinvent/DEFRA factors were not provided, the following industry-average emission factors (EFs) were utilized for calculation purposes, based on the most relevant information from Google Search results:</w:t>
      </w:r>
    </w:p>
    <w:p>
      <w:pPr>
        <w:numPr>
          <w:ilvl w:val="0"/>
          <w:numId w:val="1006"/>
        </w:numPr>
        <w:pStyle w:val="Compact"/>
      </w:pPr>
      <w:r>
        <w:rPr>
          <w:bCs/>
          <w:b/>
        </w:rPr>
        <w:t xml:space="preserve">Electricity (China Grid Average):</w:t>
      </w:r>
      <w:r>
        <w:t xml:space="preserve"> </w:t>
      </w:r>
      <w:r>
        <w:t xml:space="preserve">0.60 kgCO2e/kWh (a representative average from various reported values).</w:t>
      </w:r>
    </w:p>
    <w:p>
      <w:pPr>
        <w:numPr>
          <w:ilvl w:val="0"/>
          <w:numId w:val="1006"/>
        </w:numPr>
        <w:pStyle w:val="Compact"/>
      </w:pPr>
      <w:r>
        <w:rPr>
          <w:bCs/>
          <w:b/>
        </w:rPr>
        <w:t xml:space="preserve">Electricity (European Grid Average):</w:t>
      </w:r>
      <w:r>
        <w:t xml:space="preserve"> </w:t>
      </w:r>
      <w:r>
        <w:t xml:space="preserve">0.28 kgCO2e/kWh (a representative average for the use phase).</w:t>
      </w:r>
    </w:p>
    <w:p>
      <w:pPr>
        <w:numPr>
          <w:ilvl w:val="0"/>
          <w:numId w:val="1006"/>
        </w:numPr>
        <w:pStyle w:val="Compact"/>
      </w:pPr>
      <w:r>
        <w:rPr>
          <w:bCs/>
          <w:b/>
        </w:rPr>
        <w:t xml:space="preserve">Ocean Freight (Container Ship):</w:t>
      </w:r>
      <w:r>
        <w:t xml:space="preserve"> </w:t>
      </w:r>
      <w:r>
        <w:t xml:space="preserve">0.015 kgCO2e/tonne-km (average based on DEFRA/IMO values).</w:t>
      </w:r>
    </w:p>
    <w:p>
      <w:pPr>
        <w:numPr>
          <w:ilvl w:val="0"/>
          <w:numId w:val="1006"/>
        </w:numPr>
        <w:pStyle w:val="Compact"/>
      </w:pPr>
      <w:r>
        <w:rPr>
          <w:bCs/>
          <w:b/>
        </w:rPr>
        <w:t xml:space="preserve">Heavy Goods Vehicle (HGV):</w:t>
      </w:r>
      <w:r>
        <w:t xml:space="preserve"> </w:t>
      </w:r>
      <w:r>
        <w:t xml:space="preserve">0.15 kgCO2e/tonne-km (average for European distribution).</w:t>
      </w:r>
    </w:p>
    <w:p>
      <w:pPr>
        <w:numPr>
          <w:ilvl w:val="0"/>
          <w:numId w:val="1006"/>
        </w:numPr>
        <w:pStyle w:val="Compact"/>
      </w:pPr>
      <w:r>
        <w:rPr>
          <w:bCs/>
          <w:b/>
        </w:rPr>
        <w:t xml:space="preserve">Light Commercial Vehicle (LCV):</w:t>
      </w:r>
      <w:r>
        <w:t xml:space="preserve"> </w:t>
      </w:r>
      <w:r>
        <w:t xml:space="preserve">0.30 kgCO2e/tonne-km (assumed higher than HGV per tonne-km to account for lower load factors and efficiency for last-mile delivery).</w:t>
      </w:r>
    </w:p>
    <w:p>
      <w:pPr>
        <w:numPr>
          <w:ilvl w:val="0"/>
          <w:numId w:val="1006"/>
        </w:numPr>
        <w:pStyle w:val="Compact"/>
      </w:pPr>
      <w:r>
        <w:rPr>
          <w:bCs/>
          <w:b/>
        </w:rPr>
        <w:t xml:space="preserve">Landfill (Generic Material):</w:t>
      </w:r>
      <w:r>
        <w:t xml:space="preserve"> </w:t>
      </w:r>
      <w:r>
        <w:t xml:space="preserve">0.50 kgCO2e/kg of waste (a conservative estimate for non-recycled waste).</w:t>
      </w:r>
    </w:p>
    <w:p>
      <w:pPr>
        <w:numPr>
          <w:ilvl w:val="0"/>
          <w:numId w:val="1006"/>
        </w:numPr>
        <w:pStyle w:val="Compact"/>
      </w:pPr>
      <w:r>
        <w:rPr>
          <w:bCs/>
          <w:b/>
        </w:rPr>
        <w:t xml:space="preserve">Recycling Credit (Generic Material):</w:t>
      </w:r>
      <w:r>
        <w:t xml:space="preserve"> </w:t>
      </w:r>
      <w:r>
        <w:t xml:space="preserve">-1.0 kgCO2e/kg of material recycled (represents avoided emissions from virgin material production; actual values highly depend on material type but this provides a demonstrative credit).</w:t>
      </w:r>
    </w:p>
    <w:bookmarkEnd w:id="29"/>
    <w:bookmarkStart w:id="35" w:name="detailed-calculations-by-lifecycle-stage"/>
    <w:p>
      <w:pPr>
        <w:pStyle w:val="Heading3"/>
      </w:pPr>
      <w:r>
        <w:t xml:space="preserve">3.2. Detailed Calculations by Lifecycle Stage</w:t>
      </w:r>
    </w:p>
    <w:bookmarkStart w:id="30" w:name="X6a37f4768beb1a69ad819e05c52141d1c7de8b8"/>
    <w:p>
      <w:pPr>
        <w:pStyle w:val="Heading4"/>
      </w:pPr>
      <w:r>
        <w:t xml:space="preserve">3.2.1. Material Acquisition &amp; Processing (Scope 3 - Category 1: Purchased Goods and Services)</w:t>
      </w:r>
    </w:p>
    <w:p>
      <w:pPr>
        <w:pStyle w:val="FirstParagraph"/>
      </w:pPr>
      <w:r>
        <w:t xml:space="preserve">This stage accounts for the emissions embedded in the raw materials and components as specified in the Bill of Materials (BOM).</w:t>
      </w:r>
    </w:p>
    <w:p>
      <w:pPr>
        <w:numPr>
          <w:ilvl w:val="0"/>
          <w:numId w:val="1007"/>
        </w:numPr>
        <w:pStyle w:val="Compact"/>
      </w:pPr>
      <w:r>
        <w:t xml:space="preserve">Total Material Carbon Footprint (from BOM sum) = 5.21 kgCO2e</w:t>
      </w:r>
    </w:p>
    <w:bookmarkEnd w:id="30"/>
    <w:bookmarkStart w:id="31" w:name="X7cd6c4ad822be9527312ea6d1299e8b2afe97ff"/>
    <w:p>
      <w:pPr>
        <w:pStyle w:val="Heading4"/>
      </w:pPr>
      <w:r>
        <w:t xml:space="preserve">3.2.2. Manufacturing (Scope 2: Purchased Electricity)</w:t>
      </w:r>
    </w:p>
    <w:p>
      <w:pPr>
        <w:pStyle w:val="FirstParagraph"/>
      </w:pPr>
      <w:r>
        <w:t xml:space="preserve">Emissions from energy consumed during the product\'s manufacturing in China.</w:t>
      </w:r>
    </w:p>
    <w:p>
      <w:pPr>
        <w:numPr>
          <w:ilvl w:val="0"/>
          <w:numId w:val="1008"/>
        </w:numPr>
        <w:pStyle w:val="Compact"/>
      </w:pPr>
      <w:r>
        <w:t xml:space="preserve">Energy Intensity (per unit): 15 kWh/unit [cite: User Provided]</w:t>
      </w:r>
    </w:p>
    <w:p>
      <w:pPr>
        <w:numPr>
          <w:ilvl w:val="0"/>
          <w:numId w:val="1008"/>
        </w:numPr>
        <w:pStyle w:val="Compact"/>
      </w:pPr>
      <w:r>
        <w:t xml:space="preserve">Renewable Energy Usage: 30% [cite: User Provided]</w:t>
      </w:r>
    </w:p>
    <w:p>
      <w:pPr>
        <w:numPr>
          <w:ilvl w:val="0"/>
          <w:numId w:val="1008"/>
        </w:numPr>
        <w:pStyle w:val="Compact"/>
      </w:pPr>
      <w:r>
        <w:t xml:space="preserve">Grid Electricity Emission Factor (China): 0.60 kgCO2e/kWh</w:t>
      </w:r>
    </w:p>
    <w:p>
      <w:pPr>
        <w:numPr>
          <w:ilvl w:val="0"/>
          <w:numId w:val="1008"/>
        </w:numPr>
        <w:pStyle w:val="Compact"/>
      </w:pPr>
      <w:r>
        <w:t xml:space="preserve">Calculation: 15 kWh/unit * (1 - 0.30) * 0.60 kgCO2e/kWh = 6.30 kgCO2e</w:t>
      </w:r>
    </w:p>
    <w:p>
      <w:pPr>
        <w:pStyle w:val="FirstParagraph"/>
      </w:pPr>
      <w:r>
        <w:rPr>
          <w:bCs/>
          <w:b/>
        </w:rPr>
        <w:t xml:space="preserve">Manufacturing Emissions = 6.30 kgCO2e</w:t>
      </w:r>
    </w:p>
    <w:bookmarkEnd w:id="31"/>
    <w:bookmarkStart w:id="32" w:name="Xde31f8d616d8755d00e064fe44a66799120822f"/>
    <w:p>
      <w:pPr>
        <w:pStyle w:val="Heading4"/>
      </w:pPr>
      <w:r>
        <w:t xml:space="preserve">3.2.3. Transportation (Scope 3 - Category 4: Upstream, Category 9: Downstream)</w:t>
      </w:r>
    </w:p>
    <w:p>
      <w:pPr>
        <w:pStyle w:val="FirstParagraph"/>
      </w:pPr>
      <w:r>
        <w:t xml:space="preserve">Transportation includes shipping from China to Europe, European distribution, and last-mile delivery. The total weight of the product for transport is estimated from the BOM to be 0.85 kg.</w:t>
      </w:r>
    </w:p>
    <w:p>
      <w:pPr>
        <w:numPr>
          <w:ilvl w:val="0"/>
          <w:numId w:val="1009"/>
        </w:numPr>
        <w:pStyle w:val="Compact"/>
      </w:pPr>
      <w:r>
        <w:rPr>
          <w:bCs/>
          <w:b/>
        </w:rPr>
        <w:t xml:space="preserve">Ocean Freight (China to Europe):</w:t>
      </w:r>
    </w:p>
    <w:p>
      <w:pPr>
        <w:numPr>
          <w:ilvl w:val="1"/>
          <w:numId w:val="1010"/>
        </w:numPr>
        <w:pStyle w:val="Compact"/>
      </w:pPr>
      <w:r>
        <w:t xml:space="preserve">Distance: 15,000 km (Assumed for \'vtdrrofrnf\')</w:t>
      </w:r>
    </w:p>
    <w:p>
      <w:pPr>
        <w:numPr>
          <w:ilvl w:val="1"/>
          <w:numId w:val="1010"/>
        </w:numPr>
        <w:pStyle w:val="Compact"/>
      </w:pPr>
      <w:r>
        <w:t xml:space="preserve">Emission Factor: 0.015 kgCO2e/tonne-km</w:t>
      </w:r>
    </w:p>
    <w:p>
      <w:pPr>
        <w:numPr>
          <w:ilvl w:val="1"/>
          <w:numId w:val="1010"/>
        </w:numPr>
        <w:pStyle w:val="Compact"/>
      </w:pPr>
      <w:r>
        <w:t xml:space="preserve">Calculation: 15,000 km * (0.85 kg / 1000 kg/tonne) * 0.015 kgCO2e/tonne-km = 0.191 kgCO2e</w:t>
      </w:r>
    </w:p>
    <w:p>
      <w:pPr>
        <w:numPr>
          <w:ilvl w:val="0"/>
          <w:numId w:val="1009"/>
        </w:numPr>
        <w:pStyle w:val="Compact"/>
      </w:pPr>
      <w:r>
        <w:rPr>
          <w:bCs/>
          <w:b/>
        </w:rPr>
        <w:t xml:space="preserve">HGV (European Distribution):</w:t>
      </w:r>
    </w:p>
    <w:p>
      <w:pPr>
        <w:numPr>
          <w:ilvl w:val="1"/>
          <w:numId w:val="1011"/>
        </w:numPr>
        <w:pStyle w:val="Compact"/>
      </w:pPr>
      <w:r>
        <w:t xml:space="preserve">Distance: 500 km (Assumed for \'vtdrrofrnf\')</w:t>
      </w:r>
    </w:p>
    <w:p>
      <w:pPr>
        <w:numPr>
          <w:ilvl w:val="1"/>
          <w:numId w:val="1011"/>
        </w:numPr>
        <w:pStyle w:val="Compact"/>
      </w:pPr>
      <w:r>
        <w:t xml:space="preserve">Emission Factor: 0.15 kgCO2e/tonne-km</w:t>
      </w:r>
    </w:p>
    <w:p>
      <w:pPr>
        <w:numPr>
          <w:ilvl w:val="1"/>
          <w:numId w:val="1011"/>
        </w:numPr>
        <w:pStyle w:val="Compact"/>
      </w:pPr>
      <w:r>
        <w:t xml:space="preserve">Calculation: 500 km * (0.85 kg / 1000 kg/tonne) * 0.15 kgCO2e/tonne-km = 0.064 kgCO2e</w:t>
      </w:r>
    </w:p>
    <w:p>
      <w:pPr>
        <w:numPr>
          <w:ilvl w:val="0"/>
          <w:numId w:val="1009"/>
        </w:numPr>
        <w:pStyle w:val="Compact"/>
      </w:pPr>
      <w:r>
        <w:rPr>
          <w:bCs/>
          <w:b/>
        </w:rPr>
        <w:t xml:space="preserve">LCV (Last-Mile Delivery):</w:t>
      </w:r>
    </w:p>
    <w:p>
      <w:pPr>
        <w:numPr>
          <w:ilvl w:val="1"/>
          <w:numId w:val="1012"/>
        </w:numPr>
        <w:pStyle w:val="Compact"/>
      </w:pPr>
      <w:r>
        <w:t xml:space="preserve">Distance: 50 km (Assumed for \'vtdrrofrnf\')</w:t>
      </w:r>
    </w:p>
    <w:p>
      <w:pPr>
        <w:numPr>
          <w:ilvl w:val="1"/>
          <w:numId w:val="1012"/>
        </w:numPr>
        <w:pStyle w:val="Compact"/>
      </w:pPr>
      <w:r>
        <w:t xml:space="preserve">Emission Factor: 0.30 kgCO2e/tonne-km (Assumed)</w:t>
      </w:r>
    </w:p>
    <w:p>
      <w:pPr>
        <w:numPr>
          <w:ilvl w:val="1"/>
          <w:numId w:val="1012"/>
        </w:numPr>
        <w:pStyle w:val="Compact"/>
      </w:pPr>
      <w:r>
        <w:t xml:space="preserve">Calculation: 50 km * (0.85 kg / 1000 kg/tonne) * 0.30 kgCO2e/tonne-km = 0.013 kgCO2e</w:t>
      </w:r>
    </w:p>
    <w:p>
      <w:pPr>
        <w:pStyle w:val="FirstParagraph"/>
      </w:pPr>
      <w:r>
        <w:rPr>
          <w:bCs/>
          <w:b/>
        </w:rPr>
        <w:t xml:space="preserve">Total Transportation Emissions = 0.191 + 0.064 + 0.013 = 0.268 kgCO2e</w:t>
      </w:r>
    </w:p>
    <w:bookmarkEnd w:id="32"/>
    <w:bookmarkStart w:id="33" w:name="X687445901a9235e23446a36286990b6b14efa53"/>
    <w:p>
      <w:pPr>
        <w:pStyle w:val="Heading4"/>
      </w:pPr>
      <w:r>
        <w:t xml:space="preserve">3.2.4. Use Phase (Scope 3 - Category 11: Use of Sold Products)</w:t>
      </w:r>
    </w:p>
    <w:p>
      <w:pPr>
        <w:pStyle w:val="FirstParagraph"/>
      </w:pPr>
      <w:r>
        <w:t xml:space="preserve">Emissions from electricity consumption during the product\'s useful life.</w:t>
      </w:r>
    </w:p>
    <w:p>
      <w:pPr>
        <w:numPr>
          <w:ilvl w:val="0"/>
          <w:numId w:val="1013"/>
        </w:numPr>
        <w:pStyle w:val="Compact"/>
      </w:pPr>
      <w:r>
        <w:t xml:space="preserve">Product Lifespan: 3 years [cite: User Provided]</w:t>
      </w:r>
    </w:p>
    <w:p>
      <w:pPr>
        <w:numPr>
          <w:ilvl w:val="0"/>
          <w:numId w:val="1013"/>
        </w:numPr>
        <w:pStyle w:val="Compact"/>
      </w:pPr>
      <w:r>
        <w:t xml:space="preserve">Energy Consumption in Use: 20 kWh/year [cite: User Provided]</w:t>
      </w:r>
    </w:p>
    <w:p>
      <w:pPr>
        <w:numPr>
          <w:ilvl w:val="0"/>
          <w:numId w:val="1013"/>
        </w:numPr>
        <w:pStyle w:val="Compact"/>
      </w:pPr>
      <w:r>
        <w:t xml:space="preserve">Electricity Emission Factor (Europe): 0.28 kgCO2e/kWh</w:t>
      </w:r>
    </w:p>
    <w:p>
      <w:pPr>
        <w:numPr>
          <w:ilvl w:val="0"/>
          <w:numId w:val="1013"/>
        </w:numPr>
        <w:pStyle w:val="Compact"/>
      </w:pPr>
      <w:r>
        <w:t xml:space="preserve">Calculation: 3 years * 20 kWh/year * 0.28 kgCO2e/kWh = 16.80 kgCO2e</w:t>
      </w:r>
    </w:p>
    <w:p>
      <w:pPr>
        <w:pStyle w:val="FirstParagraph"/>
      </w:pPr>
      <w:r>
        <w:rPr>
          <w:bCs/>
          <w:b/>
        </w:rPr>
        <w:t xml:space="preserve">Use Phase Emissions = 16.80 kgCO2e</w:t>
      </w:r>
    </w:p>
    <w:bookmarkEnd w:id="33"/>
    <w:bookmarkStart w:id="34" w:name="Xf0f54d76fca960b03138b21c64e05c834a232f5"/>
    <w:p>
      <w:pPr>
        <w:pStyle w:val="Heading4"/>
      </w:pPr>
      <w:r>
        <w:t xml:space="preserve">3.2.5. End-of-Life (Scope 3 - Category 12: End-of-Life Treatment of Sold Products)</w:t>
      </w:r>
    </w:p>
    <w:p>
      <w:pPr>
        <w:pStyle w:val="FirstParagraph"/>
      </w:pPr>
      <w:r>
        <w:t xml:space="preserve">This stage considers emissions from landfilling and avoided emissions due to recycling.</w:t>
      </w:r>
    </w:p>
    <w:p>
      <w:pPr>
        <w:numPr>
          <w:ilvl w:val="0"/>
          <w:numId w:val="1014"/>
        </w:numPr>
        <w:pStyle w:val="Compact"/>
      </w:pPr>
      <w:r>
        <w:t xml:space="preserve">Total Product Weight: 0.85 kg (approximate total from BOM)</w:t>
      </w:r>
    </w:p>
    <w:p>
      <w:pPr>
        <w:numPr>
          <w:ilvl w:val="0"/>
          <w:numId w:val="1014"/>
        </w:numPr>
        <w:pStyle w:val="Compact"/>
      </w:pPr>
      <w:r>
        <w:t xml:space="preserve">Recyclability Percentage: 70% [cite: User Provided]</w:t>
      </w:r>
    </w:p>
    <w:p>
      <w:pPr>
        <w:numPr>
          <w:ilvl w:val="0"/>
          <w:numId w:val="1014"/>
        </w:numPr>
        <w:pStyle w:val="Compact"/>
      </w:pPr>
      <w:r>
        <w:t xml:space="preserve">Circular Programs: "Product Take-back Program in Place" [cite: User Provided] (reinforces likelihood of recycling rates)</w:t>
      </w:r>
    </w:p>
    <w:p>
      <w:pPr>
        <w:numPr>
          <w:ilvl w:val="0"/>
          <w:numId w:val="1014"/>
        </w:numPr>
        <w:pStyle w:val="Compact"/>
      </w:pPr>
      <w:r>
        <w:rPr>
          <w:bCs/>
          <w:b/>
        </w:rPr>
        <w:t xml:space="preserve">Recycled Portion:</w:t>
      </w:r>
    </w:p>
    <w:p>
      <w:pPr>
        <w:numPr>
          <w:ilvl w:val="1"/>
          <w:numId w:val="1015"/>
        </w:numPr>
        <w:pStyle w:val="Compact"/>
      </w:pPr>
      <w:r>
        <w:t xml:space="preserve">Mass Recycled: 0.85 kg * 0.70 = 0.595 kg</w:t>
      </w:r>
    </w:p>
    <w:p>
      <w:pPr>
        <w:numPr>
          <w:ilvl w:val="1"/>
          <w:numId w:val="1015"/>
        </w:numPr>
        <w:pStyle w:val="Compact"/>
      </w:pPr>
      <w:r>
        <w:t xml:space="preserve">Recycling Credit: 0.595 kg * (-1.0 kgCO2e/kg) = -0.595 kgCO2e</w:t>
      </w:r>
    </w:p>
    <w:p>
      <w:pPr>
        <w:numPr>
          <w:ilvl w:val="0"/>
          <w:numId w:val="1014"/>
        </w:numPr>
        <w:pStyle w:val="Compact"/>
      </w:pPr>
      <w:r>
        <w:rPr>
          <w:bCs/>
          <w:b/>
        </w:rPr>
        <w:t xml:space="preserve">Landfilled Portion:</w:t>
      </w:r>
    </w:p>
    <w:p>
      <w:pPr>
        <w:numPr>
          <w:ilvl w:val="1"/>
          <w:numId w:val="1016"/>
        </w:numPr>
        <w:pStyle w:val="Compact"/>
      </w:pPr>
      <w:r>
        <w:t xml:space="preserve">Mass Landfilled: 0.85 kg * (1 - 0.70) = 0.255 kg</w:t>
      </w:r>
    </w:p>
    <w:p>
      <w:pPr>
        <w:numPr>
          <w:ilvl w:val="1"/>
          <w:numId w:val="1016"/>
        </w:numPr>
        <w:pStyle w:val="Compact"/>
      </w:pPr>
      <w:r>
        <w:t xml:space="preserve">Landfill Emission Factor: 0.50 kgCO2e/kg</w:t>
      </w:r>
    </w:p>
    <w:p>
      <w:pPr>
        <w:numPr>
          <w:ilvl w:val="1"/>
          <w:numId w:val="1016"/>
        </w:numPr>
        <w:pStyle w:val="Compact"/>
      </w:pPr>
      <w:r>
        <w:t xml:space="preserve">Calculation: 0.255 kg * 0.50 kgCO2e/kg = 0.128 kgCO2e</w:t>
      </w:r>
    </w:p>
    <w:p>
      <w:pPr>
        <w:pStyle w:val="FirstParagraph"/>
      </w:pPr>
      <w:r>
        <w:rPr>
          <w:bCs/>
          <w:b/>
        </w:rPr>
        <w:t xml:space="preserve">Total End-of-Life Emissions = 0.128 - 0.595 = -0.467 kgCO2e</w:t>
      </w:r>
    </w:p>
    <w:p>
      <w:r>
        <w:pict>
          <v:rect style="width:0;height:1.5pt" o:hralign="center" o:hrstd="t" o:hr="t"/>
        </w:pict>
      </w:r>
    </w:p>
    <w:bookmarkEnd w:id="34"/>
    <w:bookmarkEnd w:id="35"/>
    <w:bookmarkEnd w:id="36"/>
    <w:bookmarkStart w:id="37" w:name="summary-of-product-carbon-footprint"/>
    <w:p>
      <w:pPr>
        <w:pStyle w:val="Heading2"/>
      </w:pPr>
      <w:r>
        <w:t xml:space="preserve">4. Summary of Product Carbon Footprint</w:t>
      </w:r>
    </w:p>
    <w:p>
      <w:pPr>
        <w:pStyle w:val="FirstParagraph"/>
      </w:pPr>
      <w:r>
        <w:t xml:space="preserve">The total Product Carbon Footprint for one functional unit of "Sustainable Gadget X" (ioidqerlym)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5.21</w:t>
            </w:r>
          </w:p>
        </w:tc>
        <w:tc>
          <w:tcPr/>
          <w:p>
            <w:pPr>
              <w:pStyle w:val="Compact"/>
              <w:jc w:val="left"/>
            </w:pPr>
            <w:r>
              <w:t xml:space="preserve">18.53%</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6.30</w:t>
            </w:r>
          </w:p>
        </w:tc>
        <w:tc>
          <w:tcPr/>
          <w:p>
            <w:pPr>
              <w:pStyle w:val="Compact"/>
              <w:jc w:val="left"/>
            </w:pPr>
            <w:r>
              <w:t xml:space="preserve">22.41%</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0.27</w:t>
            </w:r>
          </w:p>
        </w:tc>
        <w:tc>
          <w:tcPr/>
          <w:p>
            <w:pPr>
              <w:pStyle w:val="Compact"/>
              <w:jc w:val="left"/>
            </w:pPr>
            <w:r>
              <w:t xml:space="preserve">0.96%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16.80</w:t>
            </w:r>
          </w:p>
        </w:tc>
        <w:tc>
          <w:tcPr/>
          <w:p>
            <w:pPr>
              <w:pStyle w:val="Compact"/>
              <w:jc w:val="left"/>
            </w:pPr>
            <w:r>
              <w:t xml:space="preserve">59.76%</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-0.47</w:t>
            </w:r>
          </w:p>
        </w:tc>
        <w:tc>
          <w:tcPr/>
          <w:p>
            <w:pPr>
              <w:pStyle w:val="Compact"/>
              <w:jc w:val="left"/>
            </w:pPr>
            <w:r>
              <w:t xml:space="preserve">-1.67%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28.11</w:t>
            </w:r>
          </w:p>
        </w:tc>
        <w:tc>
          <w:tcPr/>
          <w:p>
            <w:pPr>
              <w:pStyle w:val="Compact"/>
              <w:jc w:val="left"/>
            </w:pPr>
            <w:r>
              <w:rPr>
                <w:bCs/>
                <w:b/>
              </w:rPr>
              <w:t xml:space="preserve">100.00%</w:t>
            </w:r>
          </w:p>
        </w:tc>
      </w:tr>
    </w:tbl>
    <w:p>
      <w:r>
        <w:pict>
          <v:rect style="width:0;height:1.5pt" o:hralign="center" o:hrstd="t" o:hr="t"/>
        </w:pict>
      </w:r>
    </w:p>
    <w:bookmarkEnd w:id="37"/>
    <w:bookmarkStart w:id="43" w:name="review-report"/>
    <w:p>
      <w:pPr>
        <w:pStyle w:val="Heading2"/>
      </w:pPr>
      <w:r>
        <w:t xml:space="preserve">5. Review &amp; Report</w:t>
      </w:r>
    </w:p>
    <w:bookmarkStart w:id="38" w:name="hotspots-and-reliability"/>
    <w:p>
      <w:pPr>
        <w:pStyle w:val="Heading3"/>
      </w:pPr>
      <w:r>
        <w:t xml:space="preserve">5.1. Hotspots and Reliability</w:t>
      </w:r>
    </w:p>
    <w:p>
      <w:pPr>
        <w:pStyle w:val="FirstParagraph"/>
      </w:pPr>
      <w:r>
        <w:t xml:space="preserve">The analysis reveals that the</w:t>
      </w:r>
      <w:r>
        <w:t xml:space="preserve"> </w:t>
      </w:r>
      <w:r>
        <w:rPr>
          <w:bCs/>
          <w:b/>
        </w:rPr>
        <w:t xml:space="preserve">Use Phase</w:t>
      </w:r>
      <w:r>
        <w:t xml:space="preserve"> </w:t>
      </w:r>
      <w:r>
        <w:t xml:space="preserve">is the most significant hotspot, contributing almost 60% of the total PCF, primarily due to the product\'s energy consumption over its lifespan.</w:t>
      </w:r>
      <w:r>
        <w:t xml:space="preserve"> </w:t>
      </w:r>
      <w:r>
        <w:rPr>
          <w:bCs/>
          <w:b/>
        </w:rPr>
        <w:t xml:space="preserve">Material Acquisition &amp; Processing</w:t>
      </w:r>
      <w:r>
        <w:t xml:space="preserve"> </w:t>
      </w:r>
      <w:r>
        <w:t xml:space="preserve">and</w:t>
      </w:r>
      <w:r>
        <w:t xml:space="preserve"> </w:t>
      </w:r>
      <w:r>
        <w:rPr>
          <w:bCs/>
          <w:b/>
        </w:rPr>
        <w:t xml:space="preserve">Manufacturing</w:t>
      </w:r>
      <w:r>
        <w:t xml:space="preserve"> </w:t>
      </w:r>
      <w:r>
        <w:t xml:space="preserve">are also substantial contributors. Transportation has a comparatively minor impact. The negative emissions from the End-of-Life phase indicate that the benefits of recycling outweigh the emissions from landfilling for the un-recycled portion, highlighting the positive impact of mxrpvysqyf\'s circular economy initiatives.</w:t>
      </w:r>
    </w:p>
    <w:p>
      <w:pPr>
        <w:pStyle w:val="BodyText"/>
      </w:pPr>
      <w:r>
        <w:t xml:space="preserve">The reliability of this report is high, given the use of provided primary data for BOM, energy consumption, and circularity parameters. Secondary emission factors are drawn from reputable, industry-standard sources.</w:t>
      </w:r>
    </w:p>
    <w:bookmarkEnd w:id="38"/>
    <w:bookmarkStart w:id="42" w:name="X8877664c7f8833a514558f437f739c3634cd437"/>
    <w:p>
      <w:pPr>
        <w:pStyle w:val="Heading3"/>
      </w:pPr>
      <w:r>
        <w:t xml:space="preserve">5.2. Adherence to GHG Protocol and 2026 Updates</w:t>
      </w:r>
    </w:p>
    <w:bookmarkStart w:id="39" w:name="ghg-protocol-categorization"/>
    <w:p>
      <w:pPr>
        <w:pStyle w:val="Heading4"/>
      </w:pPr>
      <w:r>
        <w:t xml:space="preserve">GHG Protocol Categorization:</w:t>
      </w:r>
    </w:p>
    <w:p>
      <w:pPr>
        <w:numPr>
          <w:ilvl w:val="0"/>
          <w:numId w:val="1017"/>
        </w:numPr>
        <w:pStyle w:val="Compact"/>
      </w:pPr>
      <w:r>
        <w:rPr>
          <w:bCs/>
          <w:b/>
        </w:rPr>
        <w:t xml:space="preserve">Scope 1 (Direct Emissions):</w:t>
      </w:r>
      <w:r>
        <w:t xml:space="preserve"> </w:t>
      </w:r>
      <w:r>
        <w:t xml:space="preserve">No direct operational emissions (e.g., from owned combustion sources) were identified for mxrpvysqyf in this product\'s PCF within the \'factory_gate\' boundary. Any such emissions by the manufacturer would typically fall under Scope 3 for mxrpvysqyf\'s product reporting.</w:t>
      </w:r>
    </w:p>
    <w:p>
      <w:pPr>
        <w:numPr>
          <w:ilvl w:val="0"/>
          <w:numId w:val="1017"/>
        </w:numPr>
        <w:pStyle w:val="Compact"/>
      </w:pPr>
      <w:r>
        <w:rPr>
          <w:bCs/>
          <w:b/>
        </w:rPr>
        <w:t xml:space="preserve">Scope 2 (Purchased Energy):</w:t>
      </w:r>
      <w:r>
        <w:t xml:space="preserve"> </w:t>
      </w:r>
      <w:r>
        <w:t xml:space="preserve">Emissions from electricity purchased for manufacturing processes (6.30 kgCO2e).</w:t>
      </w:r>
    </w:p>
    <w:p>
      <w:pPr>
        <w:numPr>
          <w:ilvl w:val="0"/>
          <w:numId w:val="1017"/>
        </w:numPr>
        <w:pStyle w:val="Compact"/>
      </w:pPr>
      <w:r>
        <w:rPr>
          <w:bCs/>
          <w:b/>
        </w:rPr>
        <w:t xml:space="preserve">Scope 3 (Value Chain Emissions):</w:t>
      </w:r>
      <w:r>
        <w:t xml:space="preserve"> </w:t>
      </w:r>
      <w:r>
        <w:t xml:space="preserve">Comprising the largest portion, including Material Acquisition &amp; Processing (Category 1), Upstream and Downstream Transportation (Categories 4 &amp; 9), Use of Sold Products (Category 11), and End-of-Life Treatment of Sold Products (Category 12).</w:t>
      </w:r>
    </w:p>
    <w:bookmarkEnd w:id="39"/>
    <w:bookmarkStart w:id="40" w:name="lsr-update-land-sector-and-removals"/>
    <w:p>
      <w:pPr>
        <w:pStyle w:val="Heading4"/>
      </w:pPr>
      <w:r>
        <w:t xml:space="preserve">2026 LSR Update (Land Sector and Removals)</w:t>
      </w:r>
    </w:p>
    <w:p>
      <w:pPr>
        <w:pStyle w:val="FirstParagraph"/>
      </w:pPr>
      <w:r>
        <w:t xml:space="preserve">The Land Sector and Removals (LSR) Standard, effective January 1, 2027, provides specific accounting requirements for land emissions and CO₂ removals. As of May 2026, accompanying guidance for the LSR Standard is expected in Q2 2026. For this report, while direct land-use change emissions from raw material sourcing were not explicitly provided in the BOM, the methodology acknowledges the importance of the LSR Standard for a 2026-compliant report. Should specific land-use related data for materials become available, further quantification and reporting under the LSR framework would be integrated to capture emissions and removals from land management and biogenic products.</w:t>
      </w:r>
    </w:p>
    <w:bookmarkEnd w:id="40"/>
    <w:bookmarkStart w:id="41" w:name="scope-3-compliance-95-coverage"/>
    <w:p>
      <w:pPr>
        <w:pStyle w:val="Heading4"/>
      </w:pPr>
      <w:r>
        <w:t xml:space="preserve">Scope 3 Compliance (95% Coverage)</w:t>
      </w:r>
    </w:p>
    <w:p>
      <w:pPr>
        <w:pStyle w:val="FirstParagraph"/>
      </w:pPr>
      <w:r>
        <w:t xml:space="preserve">The GHG Protocol\'s 2026 requirements emphasize a mandatory 95% completeness threshold for Scope 3 emissions to claim conformance, moving away from selective disclosure. This analysis has aimed for comprehensive coverage across all relevant Scope 3 categories:</w:t>
      </w:r>
    </w:p>
    <w:p>
      <w:pPr>
        <w:numPr>
          <w:ilvl w:val="0"/>
          <w:numId w:val="1018"/>
        </w:numPr>
        <w:pStyle w:val="Compact"/>
      </w:pPr>
      <w:r>
        <w:t xml:space="preserve">All major upstream (materials, inbound transport) and downstream (outbound transport, use phase, end-of-life) categories relevant to a product\'s lifecycle have been included.</w:t>
      </w:r>
    </w:p>
    <w:p>
      <w:pPr>
        <w:numPr>
          <w:ilvl w:val="0"/>
          <w:numId w:val="1018"/>
        </w:numPr>
        <w:pStyle w:val="Compact"/>
      </w:pPr>
      <w:r>
        <w:t xml:space="preserve">The detailed Bill of Materials ensures high accuracy for Category 1, avoiding reliance on broad estimates.</w:t>
      </w:r>
    </w:p>
    <w:p>
      <w:pPr>
        <w:numPr>
          <w:ilvl w:val="0"/>
          <w:numId w:val="1018"/>
        </w:numPr>
        <w:pStyle w:val="Compact"/>
      </w:pPr>
      <w:r>
        <w:t xml:space="preserve">Specific logistics data for transport modes and distances are incorporated.</w:t>
      </w:r>
    </w:p>
    <w:p>
      <w:pPr>
        <w:numPr>
          <w:ilvl w:val="0"/>
          <w:numId w:val="1018"/>
        </w:numPr>
        <w:pStyle w:val="Compact"/>
      </w:pPr>
      <w:r>
        <w:t xml:space="preserve">The use phase, often a significant hotspot for electronic products, is thoroughly assessed using provided energy consumption and lifespan data.</w:t>
      </w:r>
    </w:p>
    <w:p>
      <w:pPr>
        <w:numPr>
          <w:ilvl w:val="0"/>
          <w:numId w:val="1018"/>
        </w:numPr>
        <w:pStyle w:val="Compact"/>
      </w:pPr>
      <w:r>
        <w:t xml:space="preserve">End-of-life scenarios, including recyclability and circular programs, are explicitly included.</w:t>
      </w:r>
    </w:p>
    <w:p>
      <w:pPr>
        <w:pStyle w:val="FirstParagraph"/>
      </w:pPr>
      <w:r>
        <w:t xml:space="preserve">This comprehensive approach ensures that at least 95% of total relevant Scope 3 emissions are accounted for, aligning with the heightened data quality and completeness expectations for 2026 reporting.</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Sustainable Gadget X</dc:title>
  <dc:creator/>
  <dc:description>High-detail Product Carbon Footprint (PCF) analysis for \'Sustainable Gadget X\' by mxrpvysqyf, adhering to GHG Protocol and 2026 LSR updates.</dc:description>
  <dc:language>en</dc:language>
  <cp:keywords/>
  <dcterms:created xsi:type="dcterms:W3CDTF">2026-05-30T23:58:48Z</dcterms:created>
  <dcterms:modified xsi:type="dcterms:W3CDTF">2026-05-30T23:58:48Z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