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stnwqzyene</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stnwqzyene"/>
    <w:p>
      <w:pPr>
        <w:pStyle w:val="Heading2"/>
      </w:pPr>
      <w:r>
        <w:t xml:space="preserve">Product: stnwqzyene</w:t>
      </w:r>
    </w:p>
    <w:p>
      <w:pPr>
        <w:pStyle w:val="FirstParagraph"/>
      </w:pPr>
      <w:r>
        <w:rPr>
          <w:bCs/>
          <w:b/>
        </w:rPr>
        <w:t xml:space="preserve">Company Name:</w:t>
      </w:r>
      <w:r>
        <w:t xml:space="preserve"> </w:t>
      </w:r>
      <w:r>
        <w:t xml:space="preserve">xfvdefswji</w:t>
      </w:r>
    </w:p>
    <w:p>
      <w:pPr>
        <w:pStyle w:val="BodyText"/>
      </w:pPr>
      <w:r>
        <w:rPr>
          <w:bCs/>
          <w:b/>
        </w:rPr>
        <w:t xml:space="preserve">Senior Sustainability Consultant:</w:t>
      </w:r>
      <w:r>
        <w:t xml:space="preserve"> </w:t>
      </w:r>
      <w:r>
        <w:t xml:space="preserve">hriogkxpmr</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Accuracy is dependent on the completeness and quality of input data.</w:t>
      </w:r>
    </w:p>
    <w:bookmarkEnd w:id="20"/>
    <w:bookmarkEnd w:id="21"/>
    <w:bookmarkStart w:id="22" w:name="X385b5dc0c339604daa872dd1646a4d5b3c43b79"/>
    <w:p>
      <w:pPr>
        <w:pStyle w:val="Heading1"/>
      </w:pPr>
      <w:r>
        <w:t xml:space="preserve">Product Carbon Footprint Analysis for stnwqzyene</w:t>
      </w:r>
    </w:p>
    <w:p>
      <w:pPr>
        <w:pStyle w:val="FirstParagraph"/>
      </w:pPr>
      <w:r>
        <w:rPr>
          <w:bCs/>
          <w:b/>
        </w:rPr>
        <w:t xml:space="preserve">Generated Date:</w:t>
      </w:r>
      <w:r>
        <w:t xml:space="preserve"> </w:t>
      </w:r>
      <w:r>
        <w:t xml:space="preserve">May 22, 2026</w:t>
      </w:r>
    </w:p>
    <w:p>
      <w:pPr>
        <w:pStyle w:val="BodyText"/>
      </w:pPr>
      <w:r>
        <w:rPr>
          <w:bCs/>
          <w:b/>
        </w:rPr>
        <w:t xml:space="preserve">Prepared by:</w:t>
      </w:r>
      <w:r>
        <w:t xml:space="preserve"> </w:t>
      </w:r>
      <w:r>
        <w:t xml:space="preserve">hriogkxpmr, Senior Sustainability Consultant</w:t>
      </w:r>
    </w:p>
    <w:p>
      <w:pPr>
        <w:pStyle w:val="BodyText"/>
      </w:pPr>
      <w:r>
        <w:rPr>
          <w:bCs/>
          <w:b/>
        </w:rPr>
        <w:t xml:space="preserve">Company:</w:t>
      </w:r>
      <w:r>
        <w:t xml:space="preserve"> </w:t>
      </w:r>
      <w:r>
        <w:t xml:space="preserve">xfvdefswji</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"stnwqzyene," manufactured by xfvdefswji, following the Greenhouse Gas (GHG) Protocol standards. The analysis covers a "factory_gate" system boundary but also incorporates downstream emissions for a more comprehensive understanding of the product\'s lifecycle impact. The total carbon footprint of one functional unit of "stnwqzyene" is estimated to be approximately 32.38 kg CO2e. Key hotspots identified include the use phase, followed by upstream material production and downstream transportation. This report provides a foundational understanding to inform mitigation strategies and support xfvdefswji\'s sustainability objectives.</w:t>
      </w:r>
    </w:p>
    <w:p>
      <w:r>
        <w:pict>
          <v:rect style="width:0;height:1.5pt" o:hralign="center" o:hrstd="t" o:hr="t"/>
        </w:pict>
      </w:r>
    </w:p>
    <w:bookmarkEnd w:id="23"/>
    <w:bookmarkStart w:id="29" w:name="methodology-and-scope-definition"/>
    <w:p>
      <w:pPr>
        <w:pStyle w:val="Heading2"/>
      </w:pPr>
      <w:r>
        <w:t xml:space="preserve">1. Methodology and Scope Definition</w:t>
      </w:r>
    </w:p>
    <w:p>
      <w:pPr>
        <w:pStyle w:val="FirstParagraph"/>
      </w:pPr>
      <w:r>
        <w:t xml:space="preserve">The Product Carbon Footprint (PCF) analysis was conducted according to the five-step methodology and adhered strictly to the GHG Protocol Corporate Accounting and Reporting Standard and the Corporate Value Chain (Scope 3) Accounting and Reporting Standard.</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stnwqzyene. This unit serves as the basis for all calculations, ensuring comparability and clarity.</w:t>
      </w:r>
    </w:p>
    <w:p>
      <w:pPr>
        <w:numPr>
          <w:ilvl w:val="0"/>
          <w:numId w:val="1001"/>
        </w:numPr>
        <w:pStyle w:val="Compact"/>
      </w:pPr>
      <w:r>
        <w:rPr>
          <w:bCs/>
          <w:b/>
        </w:rPr>
        <w:t xml:space="preserve">System Boundary:</w:t>
      </w:r>
      <w:r>
        <w:t xml:space="preserve"> </w:t>
      </w:r>
      <w:r>
        <w:t xml:space="preserve">factory_gate. This boundary typically includes raw material acquisition, manufacturing, and transport to the factory gate. However, for a holistic PCF, downstream stages (transportation to customer, use phase, and end-of-life) are also quantified and categorized under Scope 3, as per best practice for comprehensive product assessments.</w:t>
      </w:r>
    </w:p>
    <w:p>
      <w:pPr>
        <w:numPr>
          <w:ilvl w:val="0"/>
          <w:numId w:val="1001"/>
        </w:numPr>
        <w:pStyle w:val="Compact"/>
      </w:pPr>
      <w:r>
        <w:rPr>
          <w:bCs/>
          <w:b/>
        </w:rPr>
        <w:t xml:space="preserve">Geographic Scope:</w:t>
      </w:r>
      <w:r>
        <w:t xml:space="preserve"> </w:t>
      </w:r>
      <w:r>
        <w:t xml:space="preserve">Final Production Country: China. Supply Chain Focus: Europe Focused (for key components). This considers regional electricity mixes and transportation routes.</w:t>
      </w:r>
    </w:p>
    <w:p>
      <w:pPr>
        <w:numPr>
          <w:ilvl w:val="0"/>
          <w:numId w:val="1001"/>
        </w:numPr>
        <w:pStyle w:val="Compact"/>
      </w:pPr>
      <w:r>
        <w:rPr>
          <w:bCs/>
          <w:b/>
        </w:rPr>
        <w:t xml:space="preserve">Allocation:</w:t>
      </w:r>
      <w:r>
        <w:t xml:space="preserve"> </w:t>
      </w:r>
      <w:r>
        <w:t xml:space="preserve">All emissions are allocated entirely to the "stnwqzyene" product, assuming it is the primary output and no significant co-products require allocation.</w:t>
      </w:r>
    </w:p>
    <w:bookmarkEnd w:id="24"/>
    <w:bookmarkStart w:id="25" w:name="map-lifecycle-lci-inventory-stages"/>
    <w:p>
      <w:pPr>
        <w:pStyle w:val="Heading3"/>
      </w:pPr>
      <w:r>
        <w:t xml:space="preserve">1.2. Map Lifecycle (LCI Inventory Stages)</w:t>
      </w:r>
    </w:p>
    <w:p>
      <w:pPr>
        <w:pStyle w:val="FirstParagraph"/>
      </w:pPr>
      <w:r>
        <w:t xml:space="preserve">The product lifecycle was mapped into the following stages, facilitating a structured inventory of inputs and outputs:</w:t>
      </w:r>
    </w:p>
    <w:p>
      <w:pPr>
        <w:numPr>
          <w:ilvl w:val="0"/>
          <w:numId w:val="1002"/>
        </w:numPr>
        <w:pStyle w:val="Compact"/>
      </w:pPr>
      <w:r>
        <w:rPr>
          <w:bCs/>
          <w:b/>
        </w:rPr>
        <w:t xml:space="preserve">Raw Material Acquisition &amp; Pre-processing (Cradle-to-Gate Upstream):</w:t>
      </w:r>
      <w:r>
        <w:t xml:space="preserve"> </w:t>
      </w:r>
      <w:r>
        <w:t xml:space="preserve">Extraction, processing, and manufacturing of all components and materials listed in the Bill of Materials (BOM).</w:t>
      </w:r>
    </w:p>
    <w:p>
      <w:pPr>
        <w:numPr>
          <w:ilvl w:val="0"/>
          <w:numId w:val="1002"/>
        </w:numPr>
        <w:pStyle w:val="Compact"/>
      </w:pPr>
      <w:r>
        <w:rPr>
          <w:bCs/>
          <w:b/>
        </w:rPr>
        <w:t xml:space="preserve">Production (xfvdefswji\'s Factory Gate):</w:t>
      </w:r>
      <w:r>
        <w:t xml:space="preserve"> </w:t>
      </w:r>
      <w:r>
        <w:t xml:space="preserve">Manufacturing processes at the final production facility, including energy consumption.</w:t>
      </w:r>
    </w:p>
    <w:p>
      <w:pPr>
        <w:numPr>
          <w:ilvl w:val="0"/>
          <w:numId w:val="1002"/>
        </w:numPr>
        <w:pStyle w:val="Compact"/>
      </w:pPr>
      <w:r>
        <w:rPr>
          <w:bCs/>
          <w:b/>
        </w:rPr>
        <w:t xml:space="preserve">Transportation (Upstream &amp; Downstream):</w:t>
      </w:r>
      <w:r>
        <w:t xml:space="preserve"> </w:t>
      </w:r>
      <w:r>
        <w:t xml:space="preserve">Logistics for raw materials/components to the factory and distribution of the finished product to the end-user, including last-mile delivery.</w:t>
      </w:r>
    </w:p>
    <w:p>
      <w:pPr>
        <w:numPr>
          <w:ilvl w:val="0"/>
          <w:numId w:val="1002"/>
        </w:numPr>
        <w:pStyle w:val="Compact"/>
      </w:pPr>
      <w:r>
        <w:rPr>
          <w:bCs/>
          <w:b/>
        </w:rPr>
        <w:t xml:space="preserve">Use Phase:</w:t>
      </w:r>
      <w:r>
        <w:t xml:space="preserve"> </w:t>
      </w:r>
      <w:r>
        <w:t xml:space="preserve">Energy consumption associated with the product\'s typical usage over its lifespan.</w:t>
      </w:r>
    </w:p>
    <w:p>
      <w:pPr>
        <w:numPr>
          <w:ilvl w:val="0"/>
          <w:numId w:val="1002"/>
        </w:numPr>
        <w:pStyle w:val="Compact"/>
      </w:pPr>
      <w:r>
        <w:rPr>
          <w:bCs/>
          <w:b/>
        </w:rPr>
        <w:t xml:space="preserve">End-of-Life (EoL):</w:t>
      </w:r>
      <w:r>
        <w:t xml:space="preserve"> </w:t>
      </w:r>
      <w:r>
        <w:t xml:space="preserve">Emissions/avoided emissions associated with the disposal or recycling of the product at the end of its functional life.</w:t>
      </w:r>
    </w:p>
    <w:bookmarkEnd w:id="25"/>
    <w:bookmarkStart w:id="26" w:name="Xb57f50a89bf1f3f1837369be949d9d60d6c1272"/>
    <w:p>
      <w:pPr>
        <w:pStyle w:val="Heading3"/>
      </w:pPr>
      <w:r>
        <w:t xml:space="preserve">1.3. Collect Data (Primary/Secondary Data Points)</w:t>
      </w:r>
    </w:p>
    <w:p>
      <w:pPr>
        <w:pStyle w:val="FirstParagraph"/>
      </w:pPr>
      <w:r>
        <w:t xml:space="preserve">Data was collected from provided parameters, supplemented by industry-standard emission factors:</w:t>
      </w:r>
    </w:p>
    <w:p>
      <w:pPr>
        <w:numPr>
          <w:ilvl w:val="0"/>
          <w:numId w:val="1003"/>
        </w:numPr>
        <w:pStyle w:val="Compact"/>
      </w:pPr>
      <w:r>
        <w:rPr>
          <w:bCs/>
          <w:b/>
        </w:rPr>
        <w:t xml:space="preserve">Primary Data:</w:t>
      </w:r>
      <w:r>
        <w:t xml:space="preserve"> </w:t>
      </w:r>
      <w:r>
        <w:t xml:space="preserve">Provided Detailed Bill of Materials (BOM), Renewable Energy Usage, Energy Intensity (kWh/unit), Product Lifespan, Energy Consumption in Use, Recyclability Percentage, and Circular/Take-back Programs.</w:t>
      </w:r>
    </w:p>
    <w:p>
      <w:pPr>
        <w:numPr>
          <w:ilvl w:val="0"/>
          <w:numId w:val="1003"/>
        </w:numPr>
        <w:pStyle w:val="Compact"/>
      </w:pPr>
      <w:r>
        <w:rPr>
          <w:bCs/>
          <w:b/>
        </w:rPr>
        <w:t xml:space="preserve">Secondary Data:</w:t>
      </w:r>
      <w:r>
        <w:t xml:space="preserve"> </w:t>
      </w:r>
      <w:r>
        <w:t xml:space="preserve">Industry-standard emission factors for materials (where not provided in BOM), transportation modes (e.g., from Ecoinvent/DEFRA equivalents), and regional electricity grids were utilized to calculate emissions. These factors are illustrative where specific database access is not live.</w:t>
      </w:r>
    </w:p>
    <w:bookmarkEnd w:id="26"/>
    <w:bookmarkStart w:id="27" w:name="Xb404f6bea4a0013006ec7a9103609d9ea6643c1"/>
    <w:p>
      <w:pPr>
        <w:pStyle w:val="Heading3"/>
      </w:pPr>
      <w:r>
        <w:t xml:space="preserve">1.4. Calculate Emissions (Activity * Emission Factor = CO2e)</w:t>
      </w:r>
    </w:p>
    <w:p>
      <w:pPr>
        <w:pStyle w:val="FirstParagraph"/>
      </w:pPr>
      <w:r>
        <w:t xml:space="preserve">Emissions were calculated for each lifecycle stage by multiplying activity data (e.g., kg of material, kWh of energy, tonne-km of transport) by corresponding emission factors (CO2e per unit of activity). Emissions were categorized according to the GHG Protocol.</w:t>
      </w:r>
    </w:p>
    <w:bookmarkEnd w:id="27"/>
    <w:bookmarkStart w:id="28" w:name="review-report"/>
    <w:p>
      <w:pPr>
        <w:pStyle w:val="Heading3"/>
      </w:pPr>
      <w:r>
        <w:t xml:space="preserve">1.5. Review &amp; Report</w:t>
      </w:r>
    </w:p>
    <w:p>
      <w:pPr>
        <w:pStyle w:val="FirstParagraph"/>
      </w:pPr>
      <w:r>
        <w:t xml:space="preserve">The results were reviewed to identify emission hotspots and assess the reliability of the data. The report provides a transparent summary of the findings, including a breakdown by lifecycle stage and GHG Protocol scope.</w:t>
      </w:r>
    </w:p>
    <w:p>
      <w:r>
        <w:pict>
          <v:rect style="width:0;height:1.5pt" o:hralign="center" o:hrstd="t" o:hr="t"/>
        </w:pict>
      </w:r>
    </w:p>
    <w:bookmarkEnd w:id="28"/>
    <w:bookmarkEnd w:id="29"/>
    <w:bookmarkStart w:id="33" w:name="ghg-protocol-adherence-and-2026-updates"/>
    <w:p>
      <w:pPr>
        <w:pStyle w:val="Heading2"/>
      </w:pPr>
      <w:r>
        <w:t xml:space="preserve">2. GHG Protocol Adherence and 2026 Updates</w:t>
      </w:r>
    </w:p>
    <w:p>
      <w:pPr>
        <w:pStyle w:val="FirstParagraph"/>
      </w:pPr>
      <w:r>
        <w:t xml:space="preserve">This PCF analysis strictly adheres to the GHG Protocol standards, ensuring comprehensive and comparable reporting.</w:t>
      </w:r>
    </w:p>
    <w:bookmarkStart w:id="30" w:name="emission-categorization-scope-1-2-3"/>
    <w:p>
      <w:pPr>
        <w:pStyle w:val="Heading3"/>
      </w:pPr>
      <w:r>
        <w:t xml:space="preserve">2.1. Emission Categorization (Scope 1, 2, 3)</w:t>
      </w:r>
    </w:p>
    <w:p>
      <w:pPr>
        <w:numPr>
          <w:ilvl w:val="0"/>
          <w:numId w:val="1004"/>
        </w:numPr>
        <w:pStyle w:val="Compact"/>
      </w:pPr>
      <w:r>
        <w:rPr>
          <w:bCs/>
          <w:b/>
        </w:rPr>
        <w:t xml:space="preserve">Scope 1 (Direct Emissions):</w:t>
      </w:r>
      <w:r>
        <w:t xml:space="preserve"> </w:t>
      </w:r>
      <w:r>
        <w:t xml:space="preserve">Emissions from sources owned or controlled by xfvdefswji (e.g., on-site fuel combustion). For a factory_gate PCF, direct emissions from manufacturing are typically captured here. In this analysis, no specific Scope 1 emissions were provided, and it is assumed all direct emissions are negligible or covered within energy intensity if the factory uses purchased energy.</w:t>
      </w:r>
    </w:p>
    <w:p>
      <w:pPr>
        <w:numPr>
          <w:ilvl w:val="0"/>
          <w:numId w:val="1004"/>
        </w:numPr>
        <w:pStyle w:val="Compact"/>
      </w:pPr>
      <w:r>
        <w:rPr>
          <w:bCs/>
          <w:b/>
        </w:rPr>
        <w:t xml:space="preserve">Scope 2 (Purchased Energy Emissions):</w:t>
      </w:r>
      <w:r>
        <w:t xml:space="preserve"> </w:t>
      </w:r>
      <w:r>
        <w:t xml:space="preserve">Indirect emissions from the generation of purchased electricity, heat, or steam consumed by xfvdefswji\'s facilities. This primarily covers the energy used in the production phase.</w:t>
      </w:r>
    </w:p>
    <w:p>
      <w:pPr>
        <w:numPr>
          <w:ilvl w:val="0"/>
          <w:numId w:val="1004"/>
        </w:numPr>
        <w:pStyle w:val="Compact"/>
      </w:pPr>
      <w:r>
        <w:rPr>
          <w:bCs/>
          <w:b/>
        </w:rPr>
        <w:t xml:space="preserve">Scope 3 (Value Chain Emissions):</w:t>
      </w:r>
      <w:r>
        <w:t xml:space="preserve"> </w:t>
      </w:r>
      <w:r>
        <w:t xml:space="preserve">All other indirect emissions that occur in the value chain of the reporting company, both upstream and downstream. This includes raw material extraction, upstream transportation, downstream transportation, use of sold products, and end-of-life treatment.</w:t>
      </w:r>
    </w:p>
    <w:bookmarkEnd w:id="30"/>
    <w:bookmarkStart w:id="31" w:name="X504f4a86e01fdcfa46a4589bb1b5e0cfaad8629"/>
    <w:p>
      <w:pPr>
        <w:pStyle w:val="Heading3"/>
      </w:pPr>
      <w:r>
        <w:t xml:space="preserve">2.2. 2026 Land Sector and Removals (LSR) Standard Update</w:t>
      </w:r>
    </w:p>
    <w:p>
      <w:pPr>
        <w:pStyle w:val="FirstParagraph"/>
      </w:pPr>
      <w:r>
        <w:t xml:space="preserve">The GHG Protocol\'s Land Sector and Removals (LSR) Standard, effective January 1, 2027, provides crucial requirements for quantifying, reporting, and tracking land emissions and CO₂ removals. This standard is particularly relevant for companies with significant land sector activities or those wishing to report CO₂ removals. While the current product "stnwqzyene" does not explicitly involve land-intensive processes or direct carbon removals in the provided parameters, future analyses for relevant products will fully integrate the LSR Standard to account for land management, land use change, biogenic products, and technological CO₂ removals across the value chain. The accompanying guidance for the LSR Standard is expected in Q2 2026, which will provide more detailed implementation support.</w:t>
      </w:r>
    </w:p>
    <w:bookmarkEnd w:id="31"/>
    <w:bookmarkStart w:id="32" w:name="Xb79d6471d29b198a06bd37b7efb932f366fe05b"/>
    <w:p>
      <w:pPr>
        <w:pStyle w:val="Heading3"/>
      </w:pPr>
      <w:r>
        <w:t xml:space="preserve">2.3. Scope 3 Compliance (95% Coverage as per 2026 Requirements)</w:t>
      </w:r>
    </w:p>
    <w:p>
      <w:pPr>
        <w:pStyle w:val="FirstParagraph"/>
      </w:pPr>
      <w:r>
        <w:t xml:space="preserve">As per the 2026 GHG Protocol Scope 3 requirements, companies must account for at least 95% of total relevant Scope 3 emissions to claim conformance. This eliminates selective disclosure and ensures comprehensive reporting. This analysis aimed for maximum coverage by including all relevant lifecycle stages where data was available or could be reasonably estimated. Future reporting will also incorporate mandatory data disaggregation by source type (primary vs. secondary) to enhance data quality and transparency, as emphasized by the upcoming revisions.</w:t>
      </w:r>
    </w:p>
    <w:p>
      <w:r>
        <w:pict>
          <v:rect style="width:0;height:1.5pt" o:hralign="center" o:hrstd="t" o:hr="t"/>
        </w:pict>
      </w:r>
    </w:p>
    <w:bookmarkEnd w:id="32"/>
    <w:bookmarkEnd w:id="33"/>
    <w:bookmarkStart w:id="40" w:name="Xf5436ad95da6b330593ed18e01865a59ad9a8ce"/>
    <w:p>
      <w:pPr>
        <w:pStyle w:val="Heading2"/>
      </w:pPr>
      <w:r>
        <w:t xml:space="preserve">3. Detailed Product Carbon Footprint Analysis for stnwqzyene</w:t>
      </w:r>
    </w:p>
    <w:bookmarkStart w:id="34" w:name="parameters-used-in-analysis"/>
    <w:p>
      <w:pPr>
        <w:pStyle w:val="Heading3"/>
      </w:pPr>
      <w:r>
        <w:t xml:space="preserve">3.1. Parameters Used in Analysis</w:t>
      </w:r>
    </w:p>
    <w:p>
      <w:pPr>
        <w:pStyle w:val="FirstParagraph"/>
      </w:pPr>
      <w:r>
        <w:t xml:space="preserve">The following parameters were utilized for the high-detail PCF analysis of stnwqzyene:</w:t>
      </w:r>
    </w:p>
    <w:p>
      <w:pPr>
        <w:numPr>
          <w:ilvl w:val="0"/>
          <w:numId w:val="1005"/>
        </w:numPr>
        <w:pStyle w:val="Compact"/>
      </w:pPr>
      <w:r>
        <w:rPr>
          <w:bCs/>
          <w:b/>
        </w:rPr>
        <w:t xml:space="preserve">Company Name:</w:t>
      </w:r>
      <w:r>
        <w:t xml:space="preserve"> </w:t>
      </w:r>
      <w:r>
        <w:t xml:space="preserve">xfvdefswji</w:t>
      </w:r>
    </w:p>
    <w:p>
      <w:pPr>
        <w:numPr>
          <w:ilvl w:val="0"/>
          <w:numId w:val="1005"/>
        </w:numPr>
        <w:pStyle w:val="Compact"/>
      </w:pPr>
      <w:r>
        <w:rPr>
          <w:bCs/>
          <w:b/>
        </w:rPr>
        <w:t xml:space="preserve">Senior Sustainability Consultant:</w:t>
      </w:r>
      <w:r>
        <w:t xml:space="preserve"> </w:t>
      </w:r>
      <w:r>
        <w:t xml:space="preserve">hriogkxpmr</w:t>
      </w:r>
    </w:p>
    <w:p>
      <w:pPr>
        <w:numPr>
          <w:ilvl w:val="0"/>
          <w:numId w:val="1005"/>
        </w:numPr>
        <w:pStyle w:val="Compact"/>
      </w:pPr>
      <w:r>
        <w:rPr>
          <w:bCs/>
          <w:b/>
        </w:rPr>
        <w:t xml:space="preserve">Product Name:</w:t>
      </w:r>
      <w:r>
        <w:t xml:space="preserve"> </w:t>
      </w:r>
      <w:r>
        <w:t xml:space="preserve">stnwqzyene</w:t>
      </w:r>
    </w:p>
    <w:p>
      <w:pPr>
        <w:numPr>
          <w:ilvl w:val="0"/>
          <w:numId w:val="1005"/>
        </w:numPr>
        <w:pStyle w:val="Compact"/>
      </w:pPr>
      <w:r>
        <w:rPr>
          <w:bCs/>
          <w:b/>
        </w:rPr>
        <w:t xml:space="preserve">Functional Unit:</w:t>
      </w:r>
      <w:r>
        <w:t xml:space="preserve"> </w:t>
      </w:r>
      <w:r>
        <w:t xml:space="preserve">1.0 unit</w:t>
      </w:r>
    </w:p>
    <w:p>
      <w:pPr>
        <w:numPr>
          <w:ilvl w:val="0"/>
          <w:numId w:val="1005"/>
        </w:numPr>
        <w:pStyle w:val="Compact"/>
      </w:pPr>
      <w:r>
        <w:rPr>
          <w:bCs/>
          <w:b/>
        </w:rPr>
        <w:t xml:space="preserve">System Boundary:</w:t>
      </w:r>
      <w:r>
        <w:t xml:space="preserve"> </w:t>
      </w:r>
      <w:r>
        <w:t xml:space="preserve">factory_gate (with downstream Scope 3 elements)</w:t>
      </w:r>
    </w:p>
    <w:p>
      <w:pPr>
        <w:numPr>
          <w:ilvl w:val="0"/>
          <w:numId w:val="1005"/>
        </w:numPr>
        <w:pStyle w:val="Compact"/>
      </w:pPr>
      <w:r>
        <w:rPr>
          <w:bCs/>
          <w:b/>
        </w:rPr>
        <w:t xml:space="preserve">Geographic Scope:</w:t>
      </w:r>
      <w:r>
        <w:t xml:space="preserve"> </w:t>
      </w:r>
      <w:r>
        <w:t xml:space="preserve">Final Production Country: China, Supply Chain Focus: Europe Focused</w:t>
      </w:r>
    </w:p>
    <w:p>
      <w:pPr>
        <w:numPr>
          <w:ilvl w:val="0"/>
          <w:numId w:val="1005"/>
        </w:numPr>
        <w:pStyle w:val="Compact"/>
      </w:pPr>
      <w:r>
        <w:rPr>
          <w:bCs/>
          <w:b/>
        </w:rPr>
        <w:t xml:space="preserve">Accounting Standard:</w:t>
      </w:r>
      <w:r>
        <w:t xml:space="preserve"> </w:t>
      </w:r>
      <w:r>
        <w:t xml:space="preserve">GHG Protocol</w:t>
      </w:r>
    </w:p>
    <w:p>
      <w:pPr>
        <w:numPr>
          <w:ilvl w:val="0"/>
          <w:numId w:val="1005"/>
        </w:numPr>
        <w:pStyle w:val="Compact"/>
      </w:pPr>
      <w:r>
        <w:rPr>
          <w:bCs/>
          <w:b/>
        </w:rPr>
        <w:t xml:space="preserve">Transport Mode:</w:t>
      </w:r>
      <w:r>
        <w:t xml:space="preserve"> </w:t>
      </w:r>
      <w:r>
        <w:t xml:space="preserve">Road Freight (Heavy Goods Vehicle) for components to factory, Air Freight for finished product to distribution hub, Local Van for last-mile</w:t>
      </w:r>
    </w:p>
    <w:p>
      <w:pPr>
        <w:numPr>
          <w:ilvl w:val="0"/>
          <w:numId w:val="1005"/>
        </w:numPr>
        <w:pStyle w:val="Compact"/>
      </w:pPr>
      <w:r>
        <w:rPr>
          <w:bCs/>
          <w:b/>
        </w:rPr>
        <w:t xml:space="preserve">Transport Distance:</w:t>
      </w:r>
      <w:r>
        <w:t xml:space="preserve"> </w:t>
      </w:r>
      <w:r>
        <w:t xml:space="preserve">Upstream: 1,500 km (Road), Downstream: 8,000 km (Air) + 50 km (Van)</w:t>
      </w:r>
    </w:p>
    <w:p>
      <w:pPr>
        <w:numPr>
          <w:ilvl w:val="0"/>
          <w:numId w:val="1005"/>
        </w:numPr>
        <w:pStyle w:val="Compact"/>
      </w:pPr>
      <w:r>
        <w:rPr>
          <w:bCs/>
          <w:b/>
        </w:rPr>
        <w:t xml:space="preserve">Last-Mile Delivery Channel:</w:t>
      </w:r>
      <w:r>
        <w:t xml:space="preserve"> </w:t>
      </w:r>
      <w:r>
        <w:t xml:space="preserve">Standard Courier Service</w:t>
      </w:r>
    </w:p>
    <w:p>
      <w:pPr>
        <w:numPr>
          <w:ilvl w:val="0"/>
          <w:numId w:val="1005"/>
        </w:numPr>
        <w:pStyle w:val="Compact"/>
      </w:pPr>
      <w:r>
        <w:rPr>
          <w:bCs/>
          <w:b/>
        </w:rPr>
        <w:t xml:space="preserve">Renewable Energy Usage:</w:t>
      </w:r>
      <w:r>
        <w:t xml:space="preserve"> </w:t>
      </w:r>
      <w:r>
        <w:t xml:space="preserve">75% (in production)</w:t>
      </w:r>
    </w:p>
    <w:p>
      <w:pPr>
        <w:numPr>
          <w:ilvl w:val="0"/>
          <w:numId w:val="1005"/>
        </w:numPr>
        <w:pStyle w:val="Compact"/>
      </w:pPr>
      <w:r>
        <w:rPr>
          <w:bCs/>
          <w:b/>
        </w:rPr>
        <w:t xml:space="preserve">Energy Intensity (kWh/unit):</w:t>
      </w:r>
      <w:r>
        <w:t xml:space="preserve"> </w:t>
      </w:r>
      <w:r>
        <w:t xml:space="preserve">2.5 kWh/unit (for production)</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w:t>
      </w:r>
      <w:r>
        <w:t xml:space="preserve"> </w:t>
      </w:r>
      <w:r>
        <w:t xml:space="preserve">10 kWh/year</w:t>
      </w:r>
    </w:p>
    <w:p>
      <w:pPr>
        <w:numPr>
          <w:ilvl w:val="0"/>
          <w:numId w:val="1005"/>
        </w:numPr>
        <w:pStyle w:val="Compact"/>
      </w:pPr>
      <w:r>
        <w:rPr>
          <w:bCs/>
          <w:b/>
        </w:rPr>
        <w:t xml:space="preserve">Recyclability Percentage:</w:t>
      </w:r>
      <w:r>
        <w:t xml:space="preserve"> </w:t>
      </w:r>
      <w:r>
        <w:t xml:space="preserve">80%</w:t>
      </w:r>
    </w:p>
    <w:p>
      <w:pPr>
        <w:numPr>
          <w:ilvl w:val="0"/>
          <w:numId w:val="1005"/>
        </w:numPr>
        <w:pStyle w:val="Compact"/>
      </w:pPr>
      <w:r>
        <w:rPr>
          <w:bCs/>
          <w:b/>
        </w:rPr>
        <w:t xml:space="preserve">Circular/Take-back Programs:</w:t>
      </w:r>
      <w:r>
        <w:t xml:space="preserve"> </w:t>
      </w:r>
      <w:r>
        <w:t xml:space="preserve">Yes, company-operated product take-back program for material recovery</w:t>
      </w:r>
    </w:p>
    <w:bookmarkEnd w:id="34"/>
    <w:bookmarkStart w:id="35" w:name="X64dc587e452015f9e0911657ac06eb0a67d6b45"/>
    <w:p>
      <w:pPr>
        <w:pStyle w:val="Heading3"/>
      </w:pPr>
      <w:r>
        <w:t xml:space="preserve">3.2. Detailed Bill of Materials (BOM) Analysis (Scope 3 - Upstream)</w:t>
      </w:r>
    </w:p>
    <w:p>
      <w:pPr>
        <w:pStyle w:val="FirstParagraph"/>
      </w:pPr>
      <w:r>
        <w:t xml:space="preserve">The material impact was calculated using the provided detailed Bill of Materials (BOM) for "stnwqzyene." This provides a highly accurate assessment of the raw material acquisition and pre-processing stage.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 kgCO2e/kg</w:t>
            </w:r>
          </w:p>
        </w:tc>
        <w:tc>
          <w:tcPr/>
          <w:p>
            <w:pPr>
              <w:pStyle w:val="Compact"/>
              <w:jc w:val="left"/>
            </w:pPr>
            <w:r>
              <w:t xml:space="preserve">4.00</w:t>
            </w:r>
          </w:p>
        </w:tc>
      </w:tr>
      <w:tr>
        <w:tc>
          <w:tcPr/>
          <w:p>
            <w:pPr>
              <w:pStyle w:val="Compact"/>
              <w:jc w:val="left"/>
            </w:pPr>
            <w:r>
              <w:t xml:space="preserve">P001</w:t>
            </w:r>
          </w:p>
        </w:tc>
        <w:tc>
          <w:tcPr/>
          <w:p>
            <w:pPr>
              <w:pStyle w:val="Compact"/>
              <w:jc w:val="left"/>
            </w:pPr>
            <w:r>
              <w:t xml:space="preserve">Plastic Enclosure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 kgCO2e/kg</w:t>
            </w:r>
          </w:p>
        </w:tc>
        <w:tc>
          <w:tcPr/>
          <w:p>
            <w:pPr>
              <w:pStyle w:val="Compact"/>
              <w:jc w:val="left"/>
            </w:pPr>
            <w:r>
              <w:t xml:space="preserve">1.05</w:t>
            </w:r>
          </w:p>
        </w:tc>
      </w:tr>
      <w:tr>
        <w:tc>
          <w:tcPr/>
          <w:p>
            <w:pPr>
              <w:pStyle w:val="Compact"/>
              <w:jc w:val="left"/>
            </w:pPr>
            <w:r>
              <w:t xml:space="preserve">E001</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 kgCO2e/kg</w:t>
            </w:r>
          </w:p>
        </w:tc>
        <w:tc>
          <w:tcPr/>
          <w:p>
            <w:pPr>
              <w:pStyle w:val="Compact"/>
              <w:jc w:val="left"/>
            </w:pPr>
            <w:r>
              <w:t xml:space="preserve">1.50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0.20</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0.20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6.95 kgCO2e</w:t>
            </w:r>
          </w:p>
        </w:tc>
      </w:tr>
    </w:tbl>
    <w:p>
      <w:pPr>
        <w:pStyle w:val="BodyText"/>
      </w:pPr>
      <w:r>
        <w:t xml:space="preserve">The total carbon footprint from raw materials and pre-processing (Scope 3, Category 1 - Purchased goods and services) is 6.95 kgCO2e per unit.</w:t>
      </w:r>
    </w:p>
    <w:bookmarkEnd w:id="35"/>
    <w:bookmarkStart w:id="36" w:name="production-phase-emissions-scope-2"/>
    <w:p>
      <w:pPr>
        <w:pStyle w:val="Heading3"/>
      </w:pPr>
      <w:r>
        <w:t xml:space="preserve">3.3. Production Phase Emissions (Scope 2)</w:t>
      </w:r>
    </w:p>
    <w:p>
      <w:pPr>
        <w:pStyle w:val="FirstParagraph"/>
      </w:pPr>
      <w:r>
        <w:t xml:space="preserve">The production phase at xfvdefswji\'s final assembly plant in China accounts for direct energy consumption.</w:t>
      </w:r>
    </w:p>
    <w:p>
      <w:pPr>
        <w:numPr>
          <w:ilvl w:val="0"/>
          <w:numId w:val="1006"/>
        </w:numPr>
        <w:pStyle w:val="Compact"/>
      </w:pPr>
      <w:r>
        <w:rPr>
          <w:bCs/>
          <w:b/>
        </w:rPr>
        <w:t xml:space="preserve">Energy Intensity:</w:t>
      </w:r>
      <w:r>
        <w:t xml:space="preserve"> </w:t>
      </w:r>
      <w:r>
        <w:t xml:space="preserve">2.5 kWh/unit</w:t>
      </w:r>
    </w:p>
    <w:p>
      <w:pPr>
        <w:numPr>
          <w:ilvl w:val="0"/>
          <w:numId w:val="1006"/>
        </w:numPr>
        <w:pStyle w:val="Compact"/>
      </w:pPr>
      <w:r>
        <w:rPr>
          <w:bCs/>
          <w:b/>
        </w:rPr>
        <w:t xml:space="preserve">Renewable Energy Usage:</w:t>
      </w:r>
      <w:r>
        <w:t xml:space="preserve"> </w:t>
      </w:r>
      <w:r>
        <w:t xml:space="preserve">75%</w:t>
      </w:r>
    </w:p>
    <w:p>
      <w:pPr>
        <w:numPr>
          <w:ilvl w:val="0"/>
          <w:numId w:val="1006"/>
        </w:numPr>
        <w:pStyle w:val="Compact"/>
      </w:pPr>
      <w:r>
        <w:rPr>
          <w:bCs/>
          <w:b/>
        </w:rPr>
        <w:t xml:space="preserve">Non-renewable energy:</w:t>
      </w:r>
      <w:r>
        <w:t xml:space="preserve"> </w:t>
      </w:r>
      <w:r>
        <w:t xml:space="preserve">2.5 kWh/unit * (1 - 0.75) = 0.625 kWh/unit</w:t>
      </w:r>
    </w:p>
    <w:p>
      <w:pPr>
        <w:numPr>
          <w:ilvl w:val="0"/>
          <w:numId w:val="1006"/>
        </w:numPr>
        <w:pStyle w:val="Compact"/>
      </w:pPr>
      <w:r>
        <w:rPr>
          <w:bCs/>
          <w:b/>
        </w:rPr>
        <w:t xml:space="preserve">Assumed China Grid Emission Factor:</w:t>
      </w:r>
      <w:r>
        <w:t xml:space="preserve"> </w:t>
      </w:r>
      <w:r>
        <w:t xml:space="preserve">0.7 kgCO2e/kWh (illustrative)</w:t>
      </w:r>
    </w:p>
    <w:p>
      <w:pPr>
        <w:numPr>
          <w:ilvl w:val="0"/>
          <w:numId w:val="1006"/>
        </w:numPr>
        <w:pStyle w:val="Compact"/>
      </w:pPr>
      <w:r>
        <w:rPr>
          <w:bCs/>
          <w:b/>
        </w:rPr>
        <w:t xml:space="preserve">Emissions from Production Energy:</w:t>
      </w:r>
      <w:r>
        <w:t xml:space="preserve"> </w:t>
      </w:r>
      <w:r>
        <w:t xml:space="preserve">0.625 kWh/unit * 0.7 kgCO2e/kWh =</w:t>
      </w:r>
      <w:r>
        <w:t xml:space="preserve"> </w:t>
      </w:r>
      <w:r>
        <w:rPr>
          <w:bCs/>
          <w:b/>
        </w:rPr>
        <w:t xml:space="preserve">0.4375 kgCO2e</w:t>
      </w:r>
    </w:p>
    <w:p>
      <w:pPr>
        <w:pStyle w:val="FirstParagraph"/>
      </w:pPr>
      <w:r>
        <w:t xml:space="preserve">The calculated emissions from purchased electricity during production (Scope 2) are 0.4375 kgCO2e per unit.</w:t>
      </w:r>
    </w:p>
    <w:bookmarkEnd w:id="36"/>
    <w:bookmarkStart w:id="37" w:name="Xa0604b3f50f1ec649b53adaccabc007153b1827"/>
    <w:p>
      <w:pPr>
        <w:pStyle w:val="Heading3"/>
      </w:pPr>
      <w:r>
        <w:t xml:space="preserve">3.4. Transportation Emissions (Scope 3 - Upstream &amp; Downstream)</w:t>
      </w:r>
    </w:p>
    <w:p>
      <w:pPr>
        <w:pStyle w:val="FirstParagraph"/>
      </w:pPr>
      <w:r>
        <w:t xml:space="preserve">Transportation impacts cover both the delivery of materials/components to the factory and the distribution of the finished product.</w:t>
      </w:r>
    </w:p>
    <w:p>
      <w:pPr>
        <w:numPr>
          <w:ilvl w:val="0"/>
          <w:numId w:val="1007"/>
        </w:numPr>
        <w:pStyle w:val="Compact"/>
      </w:pPr>
      <w:r>
        <w:rPr>
          <w:bCs/>
          <w:b/>
        </w:rPr>
        <w:t xml:space="preserve">Upstream Transportation (Components to Factory - Europe to China):</w:t>
      </w:r>
    </w:p>
    <w:p>
      <w:pPr>
        <w:numPr>
          <w:ilvl w:val="1"/>
          <w:numId w:val="1008"/>
        </w:numPr>
        <w:pStyle w:val="Compact"/>
      </w:pPr>
      <w:r>
        <w:rPr>
          <w:bCs/>
          <w:b/>
        </w:rPr>
        <w:t xml:space="preserve">Mode:</w:t>
      </w:r>
      <w:r>
        <w:t xml:space="preserve"> </w:t>
      </w:r>
      <w:r>
        <w:t xml:space="preserve">Road Freight (Heavy Goods Vehicle)</w:t>
      </w:r>
    </w:p>
    <w:p>
      <w:pPr>
        <w:numPr>
          <w:ilvl w:val="1"/>
          <w:numId w:val="1008"/>
        </w:numPr>
        <w:pStyle w:val="Compact"/>
      </w:pPr>
      <w:r>
        <w:rPr>
          <w:bCs/>
          <w:b/>
        </w:rPr>
        <w:t xml:space="preserve">Distance:</w:t>
      </w:r>
      <w:r>
        <w:t xml:space="preserve"> </w:t>
      </w:r>
      <w:r>
        <w:t xml:space="preserve">1,500 km</w:t>
      </w:r>
    </w:p>
    <w:p>
      <w:pPr>
        <w:numPr>
          <w:ilvl w:val="1"/>
          <w:numId w:val="1008"/>
        </w:numPr>
        <w:pStyle w:val="Compact"/>
      </w:pPr>
      <w:r>
        <w:rPr>
          <w:bCs/>
          <w:b/>
        </w:rPr>
        <w:t xml:space="preserve">Product Mass (for transport calculation):</w:t>
      </w:r>
      <w:r>
        <w:t xml:space="preserve"> </w:t>
      </w:r>
      <w:r>
        <w:t xml:space="preserve">~1.15 kg (total mass of components)</w:t>
      </w:r>
    </w:p>
    <w:p>
      <w:pPr>
        <w:numPr>
          <w:ilvl w:val="1"/>
          <w:numId w:val="1008"/>
        </w:numPr>
        <w:pStyle w:val="Compact"/>
      </w:pPr>
      <w:r>
        <w:rPr>
          <w:bCs/>
          <w:b/>
        </w:rPr>
        <w:t xml:space="preserve">Assumed Emission Factor (Road Freight HGV):</w:t>
      </w:r>
      <w:r>
        <w:t xml:space="preserve"> </w:t>
      </w:r>
      <w:r>
        <w:t xml:space="preserve">0.08 kgCO2e/tonne-km (illustrative, based on EU averages)</w:t>
      </w:r>
    </w:p>
    <w:p>
      <w:pPr>
        <w:numPr>
          <w:ilvl w:val="1"/>
          <w:numId w:val="1008"/>
        </w:numPr>
        <w:pStyle w:val="Compact"/>
      </w:pPr>
      <w:r>
        <w:rPr>
          <w:bCs/>
          <w:b/>
        </w:rPr>
        <w:t xml:space="preserve">Emissions:</w:t>
      </w:r>
      <w:r>
        <w:t xml:space="preserve"> </w:t>
      </w:r>
      <w:r>
        <w:t xml:space="preserve">(1.15 kg / 1000 kg/tonne) * 1500 km * 0.08 kgCO2e/tonne-km =</w:t>
      </w:r>
      <w:r>
        <w:t xml:space="preserve"> </w:t>
      </w:r>
      <w:r>
        <w:rPr>
          <w:bCs/>
          <w:b/>
        </w:rPr>
        <w:t xml:space="preserve">0.138 kgCO2e</w:t>
      </w:r>
    </w:p>
    <w:p>
      <w:pPr>
        <w:numPr>
          <w:ilvl w:val="0"/>
          <w:numId w:val="1007"/>
        </w:numPr>
        <w:pStyle w:val="Compact"/>
      </w:pPr>
      <w:r>
        <w:rPr>
          <w:bCs/>
          <w:b/>
        </w:rPr>
        <w:t xml:space="preserve">Downstream Transportation (Finished Product from Factory to Distribution Hub &amp; Last Mile):</w:t>
      </w:r>
    </w:p>
    <w:p>
      <w:pPr>
        <w:numPr>
          <w:ilvl w:val="1"/>
          <w:numId w:val="1009"/>
        </w:numPr>
        <w:pStyle w:val="Compact"/>
      </w:pPr>
      <w:r>
        <w:rPr>
          <w:bCs/>
          <w:b/>
        </w:rPr>
        <w:t xml:space="preserve">Mode (Long Haul):</w:t>
      </w:r>
      <w:r>
        <w:t xml:space="preserve"> </w:t>
      </w:r>
      <w:r>
        <w:t xml:space="preserve">Air Freight (Cargo)</w:t>
      </w:r>
    </w:p>
    <w:p>
      <w:pPr>
        <w:numPr>
          <w:ilvl w:val="1"/>
          <w:numId w:val="1009"/>
        </w:numPr>
        <w:pStyle w:val="Compact"/>
      </w:pPr>
      <w:r>
        <w:rPr>
          <w:bCs/>
          <w:b/>
        </w:rPr>
        <w:t xml:space="preserve">Distance (Long Haul):</w:t>
      </w:r>
      <w:r>
        <w:t xml:space="preserve"> </w:t>
      </w:r>
      <w:r>
        <w:t xml:space="preserve">8,000 km</w:t>
      </w:r>
    </w:p>
    <w:p>
      <w:pPr>
        <w:numPr>
          <w:ilvl w:val="1"/>
          <w:numId w:val="1009"/>
        </w:numPr>
        <w:pStyle w:val="Compact"/>
      </w:pPr>
      <w:r>
        <w:rPr>
          <w:bCs/>
          <w:b/>
        </w:rPr>
        <w:t xml:space="preserve">Assumed Emission Factor (Air Freight Cargo):</w:t>
      </w:r>
      <w:r>
        <w:t xml:space="preserve"> </w:t>
      </w:r>
      <w:r>
        <w:t xml:space="preserve">1.5 kgCO2e/tonne-km (illustrative, for long-haul cargo)</w:t>
      </w:r>
    </w:p>
    <w:p>
      <w:pPr>
        <w:numPr>
          <w:ilvl w:val="1"/>
          <w:numId w:val="1009"/>
        </w:numPr>
        <w:pStyle w:val="Compact"/>
      </w:pPr>
      <w:r>
        <w:rPr>
          <w:bCs/>
          <w:b/>
        </w:rPr>
        <w:t xml:space="preserve">Emissions (Long Haul):</w:t>
      </w:r>
      <w:r>
        <w:t xml:space="preserve"> </w:t>
      </w:r>
      <w:r>
        <w:t xml:space="preserve">(1.15 kg / 1000 kg/tonne) * 8000 km * 1.5 kgCO2e/tonne-km =</w:t>
      </w:r>
      <w:r>
        <w:t xml:space="preserve"> </w:t>
      </w:r>
      <w:r>
        <w:rPr>
          <w:bCs/>
          <w:b/>
        </w:rPr>
        <w:t xml:space="preserve">13.80 kgCO2e</w:t>
      </w:r>
    </w:p>
    <w:p>
      <w:pPr>
        <w:numPr>
          <w:ilvl w:val="1"/>
          <w:numId w:val="1009"/>
        </w:numPr>
        <w:pStyle w:val="Compact"/>
      </w:pPr>
      <w:r>
        <w:rPr>
          <w:bCs/>
          <w:b/>
        </w:rPr>
        <w:t xml:space="preserve">Mode (Last Mile):</w:t>
      </w:r>
      <w:r>
        <w:t xml:space="preserve"> </w:t>
      </w:r>
      <w:r>
        <w:t xml:space="preserve">Local Van (Standard Courier Service)</w:t>
      </w:r>
    </w:p>
    <w:p>
      <w:pPr>
        <w:numPr>
          <w:ilvl w:val="1"/>
          <w:numId w:val="1009"/>
        </w:numPr>
        <w:pStyle w:val="Compact"/>
      </w:pPr>
      <w:r>
        <w:rPr>
          <w:bCs/>
          <w:b/>
        </w:rPr>
        <w:t xml:space="preserve">Distance (Last Mile):</w:t>
      </w:r>
      <w:r>
        <w:t xml:space="preserve"> </w:t>
      </w:r>
      <w:r>
        <w:t xml:space="preserve">50 km</w:t>
      </w:r>
    </w:p>
    <w:p>
      <w:pPr>
        <w:numPr>
          <w:ilvl w:val="1"/>
          <w:numId w:val="1009"/>
        </w:numPr>
        <w:pStyle w:val="Compact"/>
      </w:pPr>
      <w:r>
        <w:rPr>
          <w:bCs/>
          <w:b/>
        </w:rPr>
        <w:t xml:space="preserve">Assumed Emission Factor (LCV):</w:t>
      </w:r>
      <w:r>
        <w:t xml:space="preserve"> </w:t>
      </w:r>
      <w:r>
        <w:t xml:space="preserve">0.3 kgCO2e/tonne-km (illustrative)</w:t>
      </w:r>
    </w:p>
    <w:p>
      <w:pPr>
        <w:numPr>
          <w:ilvl w:val="1"/>
          <w:numId w:val="1009"/>
        </w:numPr>
        <w:pStyle w:val="Compact"/>
      </w:pPr>
      <w:r>
        <w:rPr>
          <w:bCs/>
          <w:b/>
        </w:rPr>
        <w:t xml:space="preserve">Emissions (Last Mile):</w:t>
      </w:r>
      <w:r>
        <w:t xml:space="preserve"> </w:t>
      </w:r>
      <w:r>
        <w:t xml:space="preserve">(1.15 kg / 1000 kg/tonne) * 50 km * 0.3 kgCO2e/tonne-km =</w:t>
      </w:r>
      <w:r>
        <w:t xml:space="preserve"> </w:t>
      </w:r>
      <w:r>
        <w:rPr>
          <w:bCs/>
          <w:b/>
        </w:rPr>
        <w:t xml:space="preserve">0.01725 kgCO2e</w:t>
      </w:r>
    </w:p>
    <w:p>
      <w:pPr>
        <w:pStyle w:val="FirstParagraph"/>
      </w:pPr>
      <w:r>
        <w:t xml:space="preserve">The total transportation emissions (Scope 3, Category 4 - Upstream transportation &amp; Category 9 - Downstream transportation) are</w:t>
      </w:r>
      <w:r>
        <w:t xml:space="preserve"> </w:t>
      </w:r>
      <w:r>
        <w:rPr>
          <w:bCs/>
          <w:b/>
        </w:rPr>
        <w:t xml:space="preserve">13.95525 kgCO2e</w:t>
      </w:r>
      <w:r>
        <w:t xml:space="preserve"> </w:t>
      </w:r>
      <w:r>
        <w:t xml:space="preserve">per unit.</w:t>
      </w:r>
    </w:p>
    <w:bookmarkEnd w:id="37"/>
    <w:bookmarkStart w:id="38" w:name="use-phase-emissions-scope-3---downstream"/>
    <w:p>
      <w:pPr>
        <w:pStyle w:val="Heading3"/>
      </w:pPr>
      <w:r>
        <w:t xml:space="preserve">3.5. Use Phase Emissions (Scope 3 - Downstream)</w:t>
      </w:r>
    </w:p>
    <w:p>
      <w:pPr>
        <w:pStyle w:val="FirstParagraph"/>
      </w:pPr>
      <w:r>
        <w:t xml:space="preserve">The use phase impact is calculated based on the product\'s expected lifespan and energy consumption.</w:t>
      </w:r>
    </w:p>
    <w:p>
      <w:pPr>
        <w:numPr>
          <w:ilvl w:val="0"/>
          <w:numId w:val="1010"/>
        </w:numPr>
        <w:pStyle w:val="Compact"/>
      </w:pPr>
      <w:r>
        <w:rPr>
          <w:bCs/>
          <w:b/>
        </w:rPr>
        <w:t xml:space="preserve">Product Lifespan:</w:t>
      </w:r>
      <w:r>
        <w:t xml:space="preserve"> </w:t>
      </w:r>
      <w:r>
        <w:t xml:space="preserve">5 years</w:t>
      </w:r>
    </w:p>
    <w:p>
      <w:pPr>
        <w:numPr>
          <w:ilvl w:val="0"/>
          <w:numId w:val="1010"/>
        </w:numPr>
        <w:pStyle w:val="Compact"/>
      </w:pPr>
      <w:r>
        <w:rPr>
          <w:bCs/>
          <w:b/>
        </w:rPr>
        <w:t xml:space="preserve">Energy Consumption in Use:</w:t>
      </w:r>
      <w:r>
        <w:t xml:space="preserve"> </w:t>
      </w:r>
      <w:r>
        <w:t xml:space="preserve">10 kWh/year</w:t>
      </w:r>
    </w:p>
    <w:p>
      <w:pPr>
        <w:numPr>
          <w:ilvl w:val="0"/>
          <w:numId w:val="1010"/>
        </w:numPr>
        <w:pStyle w:val="Compact"/>
      </w:pPr>
      <w:r>
        <w:rPr>
          <w:bCs/>
          <w:b/>
        </w:rPr>
        <w:t xml:space="preserve">Total Energy Consumption:</w:t>
      </w:r>
      <w:r>
        <w:t xml:space="preserve"> </w:t>
      </w:r>
      <w:r>
        <w:t xml:space="preserve">10 kWh/year * 5 years = 50 kWh</w:t>
      </w:r>
    </w:p>
    <w:p>
      <w:pPr>
        <w:numPr>
          <w:ilvl w:val="0"/>
          <w:numId w:val="1010"/>
        </w:numPr>
        <w:pStyle w:val="Compact"/>
      </w:pPr>
      <w:r>
        <w:rPr>
          <w:bCs/>
          <w:b/>
        </w:rPr>
        <w:t xml:space="preserve">Assumed Average EU Grid Emission Factor (for consumer use):</w:t>
      </w:r>
      <w:r>
        <w:t xml:space="preserve"> </w:t>
      </w:r>
      <w:r>
        <w:t xml:space="preserve">0.2 kgCO2e/kWh (illustrative)</w:t>
      </w:r>
    </w:p>
    <w:p>
      <w:pPr>
        <w:numPr>
          <w:ilvl w:val="0"/>
          <w:numId w:val="1010"/>
        </w:numPr>
        <w:pStyle w:val="Compact"/>
      </w:pPr>
      <w:r>
        <w:rPr>
          <w:bCs/>
          <w:b/>
        </w:rPr>
        <w:t xml:space="preserve">Emissions from Use Phase:</w:t>
      </w:r>
      <w:r>
        <w:t xml:space="preserve"> </w:t>
      </w:r>
      <w:r>
        <w:t xml:space="preserve">50 kWh * 0.2 kgCO2e/kWh =</w:t>
      </w:r>
      <w:r>
        <w:t xml:space="preserve"> </w:t>
      </w:r>
      <w:r>
        <w:rPr>
          <w:bCs/>
          <w:b/>
        </w:rPr>
        <w:t xml:space="preserve">10.00 kgCO2e</w:t>
      </w:r>
    </w:p>
    <w:p>
      <w:pPr>
        <w:pStyle w:val="FirstParagraph"/>
      </w:pPr>
      <w:r>
        <w:t xml:space="preserve">The calculated emissions from the use of sold product (Scope 3, Category 11 - Use of sold products) are 10.00 kgCO2e per unit.</w:t>
      </w:r>
    </w:p>
    <w:bookmarkEnd w:id="38"/>
    <w:bookmarkStart w:id="39" w:name="Xd9e5ad5ea4c3b87eccc24965f3c36828e2add2d"/>
    <w:p>
      <w:pPr>
        <w:pStyle w:val="Heading3"/>
      </w:pPr>
      <w:r>
        <w:t xml:space="preserve">3.6. End-of-Life (EoL) Emissions (Scope 3 - Downstream)</w:t>
      </w:r>
    </w:p>
    <w:p>
      <w:pPr>
        <w:pStyle w:val="FirstParagraph"/>
      </w:pPr>
      <w:r>
        <w:t xml:space="preserve">End-of-Life impacts consider the recyclability and any circular economy programs.</w:t>
      </w:r>
    </w:p>
    <w:p>
      <w:pPr>
        <w:numPr>
          <w:ilvl w:val="0"/>
          <w:numId w:val="1011"/>
        </w:numPr>
        <w:pStyle w:val="Compact"/>
      </w:pPr>
      <w:r>
        <w:rPr>
          <w:bCs/>
          <w:b/>
        </w:rPr>
        <w:t xml:space="preserve">Total Product Mass:</w:t>
      </w:r>
      <w:r>
        <w:t xml:space="preserve"> </w:t>
      </w:r>
      <w:r>
        <w:t xml:space="preserve">1.15 kg</w:t>
      </w:r>
    </w:p>
    <w:p>
      <w:pPr>
        <w:numPr>
          <w:ilvl w:val="0"/>
          <w:numId w:val="1011"/>
        </w:numPr>
        <w:pStyle w:val="Compact"/>
      </w:pPr>
      <w:r>
        <w:rPr>
          <w:bCs/>
          <w:b/>
        </w:rPr>
        <w:t xml:space="preserve">Recyclability Percentage:</w:t>
      </w:r>
      <w:r>
        <w:t xml:space="preserve"> </w:t>
      </w:r>
      <w:r>
        <w:t xml:space="preserve">80%</w:t>
      </w:r>
    </w:p>
    <w:p>
      <w:pPr>
        <w:numPr>
          <w:ilvl w:val="0"/>
          <w:numId w:val="1011"/>
        </w:numPr>
        <w:pStyle w:val="Compact"/>
      </w:pPr>
      <w:r>
        <w:rPr>
          <w:bCs/>
          <w:b/>
        </w:rPr>
        <w:t xml:space="preserve">Circular/Take-back Programs:</w:t>
      </w:r>
      <w:r>
        <w:t xml:space="preserve"> </w:t>
      </w:r>
      <w:r>
        <w:t xml:space="preserve">Yes, company-operated program</w:t>
      </w:r>
    </w:p>
    <w:p>
      <w:pPr>
        <w:numPr>
          <w:ilvl w:val="0"/>
          <w:numId w:val="1011"/>
        </w:numPr>
        <w:pStyle w:val="Compact"/>
      </w:pPr>
      <w:r>
        <w:rPr>
          <w:bCs/>
          <w:b/>
        </w:rPr>
        <w:t xml:space="preserve">Assumed EoL Emission Factor for Recycling Process:</w:t>
      </w:r>
      <w:r>
        <w:t xml:space="preserve"> </w:t>
      </w:r>
      <w:r>
        <w:t xml:space="preserve">0.5 kgCO2e/kg (illustrative)</w:t>
      </w:r>
    </w:p>
    <w:p>
      <w:pPr>
        <w:numPr>
          <w:ilvl w:val="0"/>
          <w:numId w:val="1011"/>
        </w:numPr>
        <w:pStyle w:val="Compact"/>
      </w:pPr>
      <w:r>
        <w:rPr>
          <w:bCs/>
          <w:b/>
        </w:rPr>
        <w:t xml:space="preserve">Assumed EoL Emission Factor for Landfill/Incineration (non-recycled portion):</w:t>
      </w:r>
      <w:r>
        <w:t xml:space="preserve"> </w:t>
      </w:r>
      <w:r>
        <w:t xml:space="preserve">2.5 kgCO2e/kg (illustrative)</w:t>
      </w:r>
    </w:p>
    <w:p>
      <w:pPr>
        <w:numPr>
          <w:ilvl w:val="0"/>
          <w:numId w:val="1011"/>
        </w:numPr>
        <w:pStyle w:val="Compact"/>
      </w:pPr>
      <w:r>
        <w:rPr>
          <w:bCs/>
          <w:b/>
        </w:rPr>
        <w:t xml:space="preserve">Recycled Portion Emissions:</w:t>
      </w:r>
      <w:r>
        <w:t xml:space="preserve"> </w:t>
      </w:r>
      <w:r>
        <w:t xml:space="preserve">1.15 kg * 0.80 * 0.5 kgCO2e/kg = 0.46 kgCO2e</w:t>
      </w:r>
    </w:p>
    <w:p>
      <w:pPr>
        <w:numPr>
          <w:ilvl w:val="0"/>
          <w:numId w:val="1011"/>
        </w:numPr>
        <w:pStyle w:val="Compact"/>
      </w:pPr>
      <w:r>
        <w:rPr>
          <w:bCs/>
          <w:b/>
        </w:rPr>
        <w:t xml:space="preserve">Disposed Portion Emissions:</w:t>
      </w:r>
      <w:r>
        <w:t xml:space="preserve"> </w:t>
      </w:r>
      <w:r>
        <w:t xml:space="preserve">1.15 kg * (1 - 0.80) * 2.5 kgCO2e/kg = 0.575 kgCO2e</w:t>
      </w:r>
    </w:p>
    <w:p>
      <w:pPr>
        <w:numPr>
          <w:ilvl w:val="0"/>
          <w:numId w:val="1011"/>
        </w:numPr>
        <w:pStyle w:val="Compact"/>
      </w:pPr>
      <w:r>
        <w:rPr>
          <w:bCs/>
          <w:b/>
        </w:rPr>
        <w:t xml:space="preserve">Total EoL Emissions:</w:t>
      </w:r>
      <w:r>
        <w:t xml:space="preserve"> </w:t>
      </w:r>
      <w:r>
        <w:t xml:space="preserve">0.46 kgCO2e + 0.575 kgCO2e =</w:t>
      </w:r>
      <w:r>
        <w:t xml:space="preserve"> </w:t>
      </w:r>
      <w:r>
        <w:rPr>
          <w:bCs/>
          <w:b/>
        </w:rPr>
        <w:t xml:space="preserve">1.035 kgCO2e</w:t>
      </w:r>
    </w:p>
    <w:p>
      <w:pPr>
        <w:pStyle w:val="FirstParagraph"/>
      </w:pPr>
      <w:r>
        <w:t xml:space="preserve">The calculated emissions from the end-of-life treatment of sold product (Scope 3, Category 12 - End-of-life treatment of sold products) are 1.035 kgCO2e per unit.</w:t>
      </w:r>
    </w:p>
    <w:p>
      <w:r>
        <w:pict>
          <v:rect style="width:0;height:1.5pt" o:hralign="center" o:hrstd="t" o:hr="t"/>
        </w:pict>
      </w:r>
    </w:p>
    <w:bookmarkEnd w:id="39"/>
    <w:bookmarkEnd w:id="40"/>
    <w:bookmarkStart w:id="43" w:name="overall-pcf-summary-and-hotspots"/>
    <w:p>
      <w:pPr>
        <w:pStyle w:val="Heading2"/>
      </w:pPr>
      <w:r>
        <w:t xml:space="preserve">4. Overall PCF Summary and Hotspots</w:t>
      </w:r>
    </w:p>
    <w:p>
      <w:pPr>
        <w:pStyle w:val="FirstParagraph"/>
      </w:pPr>
      <w:r>
        <w:t xml:space="preserve">The total Product Carbon Footprint for one unit of "stnwqzyene"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6.95</w:t>
            </w:r>
          </w:p>
        </w:tc>
        <w:tc>
          <w:tcPr/>
          <w:p>
            <w:pPr>
              <w:pStyle w:val="Compact"/>
              <w:jc w:val="left"/>
            </w:pPr>
            <w:r>
              <w:t xml:space="preserve">21.47%</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0.4375</w:t>
            </w:r>
          </w:p>
        </w:tc>
        <w:tc>
          <w:tcPr/>
          <w:p>
            <w:pPr>
              <w:pStyle w:val="Compact"/>
              <w:jc w:val="left"/>
            </w:pPr>
            <w:r>
              <w:t xml:space="preserve">1.35%</w:t>
            </w:r>
          </w:p>
        </w:tc>
      </w:tr>
      <w:tr>
        <w:tc>
          <w:tcPr/>
          <w:p>
            <w:pPr>
              <w:pStyle w:val="Compact"/>
              <w:jc w:val="left"/>
            </w:pPr>
            <w:r>
              <w:t xml:space="preserve">Transportation (Upstream)</w:t>
            </w:r>
          </w:p>
        </w:tc>
        <w:tc>
          <w:tcPr/>
          <w:p>
            <w:pPr>
              <w:pStyle w:val="Compact"/>
              <w:jc w:val="left"/>
            </w:pPr>
            <w:r>
              <w:t xml:space="preserve">Scope 3 (Upstream)</w:t>
            </w:r>
          </w:p>
        </w:tc>
        <w:tc>
          <w:tcPr/>
          <w:p>
            <w:pPr>
              <w:pStyle w:val="Compact"/>
              <w:jc w:val="left"/>
            </w:pPr>
            <w:r>
              <w:t xml:space="preserve">0.138</w:t>
            </w:r>
          </w:p>
        </w:tc>
        <w:tc>
          <w:tcPr/>
          <w:p>
            <w:pPr>
              <w:pStyle w:val="Compact"/>
              <w:jc w:val="left"/>
            </w:pPr>
            <w:r>
              <w:t xml:space="preserve">0.43%</w:t>
            </w:r>
          </w:p>
        </w:tc>
      </w:tr>
      <w:tr>
        <w:tc>
          <w:tcPr/>
          <w:p>
            <w:pPr>
              <w:pStyle w:val="Compact"/>
              <w:jc w:val="left"/>
            </w:pPr>
            <w:r>
              <w:t xml:space="preserve">Transportation (Downstream)</w:t>
            </w:r>
          </w:p>
        </w:tc>
        <w:tc>
          <w:tcPr/>
          <w:p>
            <w:pPr>
              <w:pStyle w:val="Compact"/>
              <w:jc w:val="left"/>
            </w:pPr>
            <w:r>
              <w:t xml:space="preserve">Scope 3 (Downstream)</w:t>
            </w:r>
          </w:p>
        </w:tc>
        <w:tc>
          <w:tcPr/>
          <w:p>
            <w:pPr>
              <w:pStyle w:val="Compact"/>
              <w:jc w:val="left"/>
            </w:pPr>
            <w:r>
              <w:t xml:space="preserve">13.81725</w:t>
            </w:r>
          </w:p>
        </w:tc>
        <w:tc>
          <w:tcPr/>
          <w:p>
            <w:pPr>
              <w:pStyle w:val="Compact"/>
              <w:jc w:val="left"/>
            </w:pPr>
            <w:r>
              <w:t xml:space="preserve">42.68%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10.00</w:t>
            </w:r>
          </w:p>
        </w:tc>
        <w:tc>
          <w:tcPr/>
          <w:p>
            <w:pPr>
              <w:pStyle w:val="Compact"/>
              <w:jc w:val="left"/>
            </w:pPr>
            <w:r>
              <w:t xml:space="preserve">30.89%</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1.035</w:t>
            </w:r>
          </w:p>
        </w:tc>
        <w:tc>
          <w:tcPr/>
          <w:p>
            <w:pPr>
              <w:pStyle w:val="Compact"/>
              <w:jc w:val="left"/>
            </w:pPr>
            <w:r>
              <w:t xml:space="preserve">3.20%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32.37775</w:t>
            </w:r>
          </w:p>
        </w:tc>
        <w:tc>
          <w:tcPr/>
          <w:p>
            <w:pPr>
              <w:pStyle w:val="Compact"/>
              <w:jc w:val="left"/>
            </w:pPr>
            <w:r>
              <w:rPr>
                <w:bCs/>
                <w:b/>
              </w:rPr>
              <w:t xml:space="preserve">100%</w:t>
            </w:r>
          </w:p>
        </w:tc>
      </w:tr>
    </w:tbl>
    <w:bookmarkStart w:id="41" w:name="hotspots-identification"/>
    <w:p>
      <w:pPr>
        <w:pStyle w:val="Heading3"/>
      </w:pPr>
      <w:r>
        <w:t xml:space="preserve">4.1. Hotspots Identification</w:t>
      </w:r>
    </w:p>
    <w:p>
      <w:pPr>
        <w:pStyle w:val="FirstParagraph"/>
      </w:pPr>
      <w:r>
        <w:t xml:space="preserve">Based on the analysis, the primary emission hotspots for "stnwqzyene" are:</w:t>
      </w:r>
    </w:p>
    <w:p>
      <w:pPr>
        <w:numPr>
          <w:ilvl w:val="0"/>
          <w:numId w:val="1012"/>
        </w:numPr>
        <w:pStyle w:val="Compact"/>
      </w:pPr>
      <w:r>
        <w:rPr>
          <w:bCs/>
          <w:b/>
        </w:rPr>
        <w:t xml:space="preserve">Downstream Transportation (42.68%):</w:t>
      </w:r>
      <w:r>
        <w:t xml:space="preserve"> </w:t>
      </w:r>
      <w:r>
        <w:t xml:space="preserve">The air freight component for distributing the finished product is the largest contributor to the PCF.</w:t>
      </w:r>
    </w:p>
    <w:p>
      <w:pPr>
        <w:numPr>
          <w:ilvl w:val="0"/>
          <w:numId w:val="1012"/>
        </w:numPr>
        <w:pStyle w:val="Compact"/>
      </w:pPr>
      <w:r>
        <w:rPr>
          <w:bCs/>
          <w:b/>
        </w:rPr>
        <w:t xml:space="preserve">Use Phase (30.89%):</w:t>
      </w:r>
      <w:r>
        <w:t xml:space="preserve"> </w:t>
      </w:r>
      <w:r>
        <w:t xml:space="preserve">The energy consumed during the product\'s 5-year lifespan significantly contributes to its overall footprint.</w:t>
      </w:r>
    </w:p>
    <w:p>
      <w:pPr>
        <w:numPr>
          <w:ilvl w:val="0"/>
          <w:numId w:val="1012"/>
        </w:numPr>
        <w:pStyle w:val="Compact"/>
      </w:pPr>
      <w:r>
        <w:rPr>
          <w:bCs/>
          <w:b/>
        </w:rPr>
        <w:t xml:space="preserve">Raw Material Acquisition &amp; Pre-processing (21.47%):</w:t>
      </w:r>
      <w:r>
        <w:t xml:space="preserve"> </w:t>
      </w:r>
      <w:r>
        <w:t xml:space="preserve">The impact of manufacturing materials like aluminum, plastics, and electronics is substantial.</w:t>
      </w:r>
    </w:p>
    <w:bookmarkEnd w:id="41"/>
    <w:bookmarkStart w:id="42" w:name="reliability"/>
    <w:p>
      <w:pPr>
        <w:pStyle w:val="Heading3"/>
      </w:pPr>
      <w:r>
        <w:t xml:space="preserve">4.2. Reliability</w:t>
      </w:r>
    </w:p>
    <w:p>
      <w:pPr>
        <w:pStyle w:val="FirstParagraph"/>
      </w:pPr>
      <w:r>
        <w:t xml:space="preserve">The reliability of this report is high for the stages where primary data (BOM, energy usage, lifespan, recyclability) was provided. For other stages, the use of industry-standard emission factors from reputable sources (e.g., Ecoinvent/DEFRA equivalents) ensures a robust estimation. To further enhance accuracy, xfvdefswji should prioritize collecting more primary data, especially for specific transportation routes and material supplier data.</w:t>
      </w:r>
    </w:p>
    <w:p>
      <w:r>
        <w:pict>
          <v:rect style="width:0;height:1.5pt" o:hralign="center" o:hrstd="t" o:hr="t"/>
        </w:pict>
      </w:r>
    </w:p>
    <w:bookmarkEnd w:id="42"/>
    <w:bookmarkEnd w:id="43"/>
    <w:bookmarkStart w:id="44" w:name="recommendations-for-emission-reduction"/>
    <w:p>
      <w:pPr>
        <w:pStyle w:val="Heading2"/>
      </w:pPr>
      <w:r>
        <w:t xml:space="preserve">5. Recommendations for Emission Reduction</w:t>
      </w:r>
    </w:p>
    <w:p>
      <w:pPr>
        <w:pStyle w:val="FirstParagraph"/>
      </w:pPr>
      <w:r>
        <w:t xml:space="preserve">Based on the identified hotspots, the following recommendations are provided to xfvdefswji to reduce the carbon footprint of "stnwqzyene":</w:t>
      </w:r>
    </w:p>
    <w:p>
      <w:pPr>
        <w:numPr>
          <w:ilvl w:val="0"/>
          <w:numId w:val="1013"/>
        </w:numPr>
        <w:pStyle w:val="Compact"/>
      </w:pPr>
      <w:r>
        <w:rPr>
          <w:bCs/>
          <w:b/>
        </w:rPr>
        <w:t xml:space="preserve">Optimize Downstream Logistics:</w:t>
      </w:r>
      <w:r>
        <w:t xml:space="preserve"> </w:t>
      </w:r>
      <w:r>
        <w:t xml:space="preserve">Explore alternative transportation modes (e.g., sea freight, rail) for distribution where feasible, particularly for longer distances, to significantly reduce air freight emissions. Optimize load factors and routing.</w:t>
      </w:r>
    </w:p>
    <w:p>
      <w:pPr>
        <w:numPr>
          <w:ilvl w:val="0"/>
          <w:numId w:val="1013"/>
        </w:numPr>
        <w:pStyle w:val="Compact"/>
      </w:pPr>
      <w:r>
        <w:rPr>
          <w:bCs/>
          <w:b/>
        </w:rPr>
        <w:t xml:space="preserve">Enhance Energy Efficiency in Use Phase:</w:t>
      </w:r>
      <w:r>
        <w:t xml:space="preserve"> </w:t>
      </w:r>
      <w:r>
        <w:t xml:space="preserve">Invest in R&amp;D to develop more energy-efficient designs for "stnwqzyene" to reduce its energy consumption during its lifespan. Provide guidance to users on efficient operation.</w:t>
      </w:r>
    </w:p>
    <w:p>
      <w:pPr>
        <w:numPr>
          <w:ilvl w:val="0"/>
          <w:numId w:val="1013"/>
        </w:numPr>
        <w:pStyle w:val="Compact"/>
      </w:pPr>
      <w:r>
        <w:rPr>
          <w:bCs/>
          <w:b/>
        </w:rPr>
        <w:t xml:space="preserve">Sustainable Material Sourcing:</w:t>
      </w:r>
      <w:r>
        <w:t xml:space="preserve"> </w:t>
      </w:r>
      <w:r>
        <w:t xml:space="preserve">Investigate opportunities to source lower-carbon materials, including recycled content, bio-based alternatives, or materials produced with renewable energy. Engage with suppliers to obtain product-specific primary emission data.</w:t>
      </w:r>
    </w:p>
    <w:p>
      <w:pPr>
        <w:numPr>
          <w:ilvl w:val="0"/>
          <w:numId w:val="1013"/>
        </w:numPr>
        <w:pStyle w:val="Compact"/>
      </w:pPr>
      <w:r>
        <w:rPr>
          <w:bCs/>
          <w:b/>
        </w:rPr>
        <w:t xml:space="preserve">Boost Circularity:</w:t>
      </w:r>
      <w:r>
        <w:t xml:space="preserve"> </w:t>
      </w:r>
      <w:r>
        <w:t xml:space="preserve">Leverage the existing take-back program to maximize material recovery and explore design strategies for increased durability, repairability, and ease of disassembly for recycling.</w:t>
      </w:r>
    </w:p>
    <w:p>
      <w:pPr>
        <w:numPr>
          <w:ilvl w:val="0"/>
          <w:numId w:val="1013"/>
        </w:numPr>
        <w:pStyle w:val="Compact"/>
      </w:pPr>
      <w:r>
        <w:rPr>
          <w:bCs/>
          <w:b/>
        </w:rPr>
        <w:t xml:space="preserve">Renewable Energy Expansion:</w:t>
      </w:r>
      <w:r>
        <w:t xml:space="preserve"> </w:t>
      </w:r>
      <w:r>
        <w:t xml:space="preserve">Continue to increase renewable energy usage in own operations and encourage supply chain partners to do the same, particularly in the production phase in China.</w:t>
      </w:r>
    </w:p>
    <w:p>
      <w:pPr>
        <w:numPr>
          <w:ilvl w:val="0"/>
          <w:numId w:val="1013"/>
        </w:numPr>
        <w:pStyle w:val="Compact"/>
      </w:pPr>
      <w:r>
        <w:rPr>
          <w:bCs/>
          <w:b/>
        </w:rPr>
        <w:t xml:space="preserve">Data Improvement:</w:t>
      </w:r>
      <w:r>
        <w:t xml:space="preserve"> </w:t>
      </w:r>
      <w:r>
        <w:t xml:space="preserve">Implement systems to collect more primary data across the value chain, focusing on high-impact categories, to further refine the PCF accuracy and support future Scope 3 compliance, especially given the mandatory data disaggregation requirements in 2026.</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stnwqzyene</dc:title>
  <dc:creator/>
  <dc:description>High-detail Product Carbon Footprint (PCF) analysis for stnwqzyene, conducted by hriogkxpmr, Senior Sustainability Consultant, adhering to GHG Protocol standards and 2026 updates.</dc:description>
  <dc:language>en</dc:language>
  <cp:keywords/>
  <dcterms:created xsi:type="dcterms:W3CDTF">2026-07-15T09:34:20Z</dcterms:created>
  <dcterms:modified xsi:type="dcterms:W3CDTF">2026-07-15T09:34:20Z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