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stnknmzhdu</w:t>
      </w:r>
    </w:p>
    <w:p>
      <w:pPr>
        <w:pStyle w:val="FirstParagraph"/>
      </w:pPr>
      <w:r>
        <w:rPr>
          <w:bCs/>
          <w:b/>
        </w:rPr>
        <w:t xml:space="preserve">carboncalcpcf.com</w:t>
      </w:r>
    </w:p>
    <w:bookmarkStart w:id="22" w:name="product-carbon-footprint-analysis-report"/>
    <w:p>
      <w:pPr>
        <w:pStyle w:val="Heading1"/>
      </w:pPr>
      <w:r>
        <w:t xml:space="preserve">Product Carbon Footprint Analysis Report</w:t>
      </w:r>
    </w:p>
    <w:bookmarkStart w:id="20" w:name="product-stnknmzhdu"/>
    <w:p>
      <w:pPr>
        <w:pStyle w:val="Heading2"/>
      </w:pPr>
      <w:r>
        <w:t xml:space="preserve">Product: stnknmzhdu</w:t>
      </w:r>
    </w:p>
    <w:bookmarkEnd w:id="20"/>
    <w:bookmarkStart w:id="21" w:name="company-lzfggegrkg"/>
    <w:p>
      <w:pPr>
        <w:pStyle w:val="Heading2"/>
      </w:pPr>
      <w:r>
        <w:t xml:space="preserve">Company: lzfggegrkg</w:t>
      </w:r>
    </w:p>
    <w:p>
      <w:pPr>
        <w:pStyle w:val="FirstParagraph"/>
      </w:pPr>
      <w:r>
        <w:rPr>
          <w:bCs/>
          <w:b/>
        </w:rPr>
        <w:t xml:space="preserve">Senior Sustainability Consultant: rnqzyfximn</w:t>
      </w:r>
    </w:p>
    <w:p>
      <w:pPr>
        <w:pStyle w:val="BodyText"/>
      </w:pPr>
      <w:r>
        <w:t xml:space="preserve">Protocol Data (Accounting Standard): GHG Protocol</w:t>
      </w:r>
    </w:p>
    <w:p>
      <w:pPr>
        <w:pStyle w:val="BodyText"/>
      </w:pPr>
      <w:r>
        <w:t xml:space="preserve">This report is generated based on available data and industry standards. It provides an estimate of the product carbon footprint and should be used for internal strategic planning and sustainability reporting purposes.</w:t>
      </w:r>
    </w:p>
    <w:bookmarkEnd w:id="21"/>
    <w:bookmarkEnd w:id="22"/>
    <w:bookmarkStart w:id="23" w:name="Xf1ae797231b83ae86cec70e188c44caa2d7fb09"/>
    <w:p>
      <w:pPr>
        <w:pStyle w:val="Heading1"/>
      </w:pPr>
      <w:r>
        <w:t xml:space="preserve">Product Carbon Footprint Analysis Report: stnknmzhdu</w:t>
      </w:r>
    </w:p>
    <w:p>
      <w:pPr>
        <w:pStyle w:val="FirstParagraph"/>
      </w:pPr>
      <w:r>
        <w:rPr>
          <w:bCs/>
          <w:b/>
        </w:rPr>
        <w:t xml:space="preserve">Company:</w:t>
      </w:r>
      <w:r>
        <w:t xml:space="preserve"> </w:t>
      </w:r>
      <w:r>
        <w:t xml:space="preserve">lzfggegrkg</w:t>
      </w:r>
    </w:p>
    <w:p>
      <w:pPr>
        <w:pStyle w:val="BodyText"/>
      </w:pPr>
      <w:r>
        <w:rPr>
          <w:bCs/>
          <w:b/>
        </w:rPr>
        <w:t xml:space="preserve">Senior Sustainability Consultant:</w:t>
      </w:r>
      <w:r>
        <w:t xml:space="preserve"> </w:t>
      </w:r>
      <w:r>
        <w:t xml:space="preserve">rnqzyfximn</w:t>
      </w:r>
    </w:p>
    <w:p>
      <w:pPr>
        <w:pStyle w:val="BodyText"/>
      </w:pPr>
      <w:r>
        <w:rPr>
          <w:bCs/>
          <w:b/>
        </w:rPr>
        <w:t xml:space="preserve">Generated Date:</w:t>
      </w:r>
      <w:r>
        <w:t xml:space="preserve"> </w:t>
      </w:r>
      <w:r>
        <w:t xml:space="preserve">May 21, 2026</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high-detail Product Carbon Footprint (PCF) analysis, conducted by rnqzyfximn, Senior Sustainability Consultant at lzfggegrkg, quantifies the greenhouse gas (GHG) emissions associated with the product stnknmzhdu across its lifecycle. Adhering to the GHG Protocol and incorporating the latest 2026 Land Sector and Removals (LSR) Standard update, this report aims to identify emission hotspots, inform reduction strategies, and ensure comprehensive sustainability reporting. The analysis covers material acquisition, manufacturing, transportation, product use, and end-of-life stages, providing a robust foundation for environmental performance management.</w:t>
      </w:r>
    </w:p>
    <w:p>
      <w:r>
        <w:pict>
          <v:rect style="width:0;height:1.5pt" o:hralign="center" o:hrstd="t" o:hr="t"/>
        </w:pict>
      </w:r>
    </w:p>
    <w:bookmarkEnd w:id="24"/>
    <w:bookmarkStart w:id="43" w:name="methodology"/>
    <w:p>
      <w:pPr>
        <w:pStyle w:val="Heading2"/>
      </w:pPr>
      <w:r>
        <w:t xml:space="preserve">Methodology</w:t>
      </w:r>
    </w:p>
    <w:p>
      <w:pPr>
        <w:pStyle w:val="FirstParagraph"/>
      </w:pPr>
      <w:r>
        <w:t xml:space="preserve">The Product Carbon Footprint (PCF) analysis for stnknmzhdu follows the Greenhouse Gas Protocol Product Standard, which provides a comprehensive framework for quantifying and reporting GHG emissions across a product\'s entire lifecycle. The methodology is structured into five key steps:</w:t>
      </w:r>
    </w:p>
    <w:p>
      <w:pPr>
        <w:numPr>
          <w:ilvl w:val="0"/>
          <w:numId w:val="1001"/>
        </w:numPr>
        <w:pStyle w:val="Heading3"/>
      </w:pPr>
      <w:bookmarkStart w:id="25" w:name="define-scope"/>
      <w:r>
        <w:t xml:space="preserve">Define Scope</w:t>
      </w:r>
      <w:bookmarkEnd w:id="25"/>
    </w:p>
    <w:p>
      <w:pPr>
        <w:numPr>
          <w:ilvl w:val="0"/>
          <w:numId w:val="1000"/>
        </w:numPr>
      </w:pPr>
      <w:r>
        <w:t xml:space="preserve">The initial step involves clearly defining the objectives and boundaries of the assessment.</w:t>
      </w:r>
    </w:p>
    <w:p>
      <w:pPr>
        <w:numPr>
          <w:ilvl w:val="1"/>
          <w:numId w:val="1002"/>
        </w:numPr>
        <w:pStyle w:val="Compact"/>
      </w:pPr>
      <w:r>
        <w:rPr>
          <w:bCs/>
          <w:b/>
        </w:rPr>
        <w:t xml:space="preserve">Functional Unit:</w:t>
      </w:r>
      <w:r>
        <w:t xml:space="preserve"> </w:t>
      </w:r>
      <w:r>
        <w:t xml:space="preserve">1.0 unit of stnknmzhdu.</w:t>
      </w:r>
    </w:p>
    <w:p>
      <w:pPr>
        <w:numPr>
          <w:ilvl w:val="1"/>
          <w:numId w:val="1002"/>
        </w:numPr>
        <w:pStyle w:val="Compact"/>
      </w:pPr>
      <w:r>
        <w:rPr>
          <w:bCs/>
          <w:b/>
        </w:rPr>
        <w:t xml:space="preserve">System Boundary:</w:t>
      </w:r>
      <w:r>
        <w:t xml:space="preserve"> </w:t>
      </w:r>
      <w:r>
        <w:t xml:space="preserve">Cradle-to-grave. While initially specified as \'factory_gate\', the inclusion of parameters for the Use Phase and End-of-Life scenarios necessitates a comprehensive cradle-to-grave assessment to capture all relevant impacts. The \'factory_gate\' boundary applies to direct production emissions, but the overall product lifecycle is assessed.</w:t>
      </w:r>
    </w:p>
    <w:p>
      <w:pPr>
        <w:numPr>
          <w:ilvl w:val="1"/>
          <w:numId w:val="1002"/>
        </w:numPr>
        <w:pStyle w:val="Compact"/>
      </w:pPr>
      <w:r>
        <w:rPr>
          <w:bCs/>
          <w:b/>
        </w:rPr>
        <w:t xml:space="preserve">Geographic Scope:</w:t>
      </w:r>
      <w:r>
        <w:t xml:space="preserve"> </w:t>
      </w:r>
      <w:r>
        <w:t xml:space="preserve">Final Production Country: China. Supply Chain Focus: Europe Focused (for inbound logistics to China).</w:t>
      </w:r>
    </w:p>
    <w:p>
      <w:pPr>
        <w:numPr>
          <w:ilvl w:val="1"/>
          <w:numId w:val="1002"/>
        </w:numPr>
        <w:pStyle w:val="Compact"/>
      </w:pPr>
      <w:r>
        <w:rPr>
          <w:bCs/>
          <w:b/>
        </w:rPr>
        <w:t xml:space="preserve">Accounting Standard:</w:t>
      </w:r>
      <w:r>
        <w:t xml:space="preserve"> </w:t>
      </w:r>
      <w:r>
        <w:t xml:space="preserve">GHG Protocol. This report categorizes emissions into Scope 1 (direct), Scope 2 (purchased energy), and Scope 3 (value chain).</w:t>
      </w:r>
    </w:p>
    <w:p>
      <w:pPr>
        <w:numPr>
          <w:ilvl w:val="1"/>
          <w:numId w:val="1002"/>
        </w:numPr>
        <w:pStyle w:val="Compact"/>
      </w:pPr>
      <w:r>
        <w:rPr>
          <w:bCs/>
          <w:b/>
        </w:rPr>
        <w:t xml:space="preserve">Allocation:</w:t>
      </w:r>
      <w:r>
        <w:t xml:space="preserve"> </w:t>
      </w:r>
      <w:r>
        <w:t xml:space="preserve">For co-products or recycled content, the "cut-off" approach is applied, where the burdens/credits associated with material from previous or subsequent life cycles are not considered in the current product system.</w:t>
      </w:r>
    </w:p>
    <w:p>
      <w:pPr>
        <w:numPr>
          <w:ilvl w:val="0"/>
          <w:numId w:val="1001"/>
        </w:numPr>
        <w:pStyle w:val="Heading3"/>
      </w:pPr>
      <w:bookmarkStart w:id="26" w:name="map-lifecycle-lci-inventory-stages"/>
      <w:r>
        <w:t xml:space="preserve">Map Lifecycle (LCI Inventory Stages)</w:t>
      </w:r>
      <w:bookmarkEnd w:id="26"/>
    </w:p>
    <w:p>
      <w:pPr>
        <w:numPr>
          <w:ilvl w:val="0"/>
          <w:numId w:val="1000"/>
        </w:numPr>
      </w:pPr>
      <w:r>
        <w:t xml:space="preserve">The lifecycle of stnknmzhdu is mapped into distinct stages, identifying all processes and activities that contribute to GHG emissions. These stages include:</w:t>
      </w:r>
    </w:p>
    <w:p>
      <w:pPr>
        <w:numPr>
          <w:ilvl w:val="1"/>
          <w:numId w:val="1003"/>
        </w:numPr>
        <w:pStyle w:val="Compact"/>
      </w:pPr>
      <w:r>
        <w:rPr>
          <w:bCs/>
          <w:b/>
        </w:rPr>
        <w:t xml:space="preserve">Materials Acquisition &amp; Pre-processing:</w:t>
      </w:r>
      <w:r>
        <w:t xml:space="preserve"> </w:t>
      </w:r>
      <w:r>
        <w:t xml:space="preserve">Extraction, production, and processing of raw materials.</w:t>
      </w:r>
    </w:p>
    <w:p>
      <w:pPr>
        <w:numPr>
          <w:ilvl w:val="1"/>
          <w:numId w:val="1003"/>
        </w:numPr>
        <w:pStyle w:val="Compact"/>
      </w:pPr>
      <w:r>
        <w:rPr>
          <w:bCs/>
          <w:b/>
        </w:rPr>
        <w:t xml:space="preserve">Manufacturing:</w:t>
      </w:r>
      <w:r>
        <w:t xml:space="preserve"> </w:t>
      </w:r>
      <w:r>
        <w:t xml:space="preserve">Assembly and production processes at the lzfggegrkg facility in China.</w:t>
      </w:r>
    </w:p>
    <w:p>
      <w:pPr>
        <w:numPr>
          <w:ilvl w:val="1"/>
          <w:numId w:val="1003"/>
        </w:numPr>
        <w:pStyle w:val="Compact"/>
      </w:pPr>
      <w:r>
        <w:rPr>
          <w:bCs/>
          <w:b/>
        </w:rPr>
        <w:t xml:space="preserve">Transportation:</w:t>
      </w:r>
      <w:r>
        <w:t xml:space="preserve"> </w:t>
      </w:r>
      <w:r>
        <w:t xml:space="preserve">Inbound logistics of materials (Europe to China) and outbound logistics (from factory to distribution, including last-mile delivery).</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 (EoL):</w:t>
      </w:r>
      <w:r>
        <w:t xml:space="preserve"> </w:t>
      </w:r>
      <w:r>
        <w:t xml:space="preserve">Disposal and recycling processes.</w:t>
      </w:r>
    </w:p>
    <w:p>
      <w:pPr>
        <w:numPr>
          <w:ilvl w:val="0"/>
          <w:numId w:val="1001"/>
        </w:numPr>
        <w:pStyle w:val="Heading3"/>
      </w:pPr>
      <w:bookmarkStart w:id="27" w:name="Xb57f50a89bf1f3f1837369be949d9d60d6c1272"/>
      <w:r>
        <w:t xml:space="preserve">Collect Data (Primary/Secondary Data Points)</w:t>
      </w:r>
      <w:bookmarkEnd w:id="27"/>
    </w:p>
    <w:p>
      <w:pPr>
        <w:numPr>
          <w:ilvl w:val="0"/>
          <w:numId w:val="1000"/>
        </w:numPr>
      </w:pPr>
      <w:r>
        <w:t xml:space="preserve">Both primary and secondary data are collected to quantify the inputs and outputs at each lifecycle stage.</w:t>
      </w:r>
    </w:p>
    <w:p>
      <w:pPr>
        <w:numPr>
          <w:ilvl w:val="0"/>
          <w:numId w:val="1000"/>
        </w:numPr>
        <w:pStyle w:val="Heading4"/>
      </w:pPr>
      <w:bookmarkStart w:id="28" w:name="X8d5523505ee904b968800b56e84495fa32f94ed"/>
      <w:r>
        <w:t xml:space="preserve">Detailed Bill of Materials (BOM) Data (usntdeig)</w:t>
      </w:r>
      <w:bookmarkEnd w:id="28"/>
    </w:p>
    <w:p>
      <w:pPr>
        <w:numPr>
          <w:ilvl w:val="0"/>
          <w:numId w:val="1000"/>
        </w:numPr>
      </w:pPr>
      <w:r>
        <w:t xml:space="preserve">The following detailed Bill of Materials (BOM) data (identified as \'usntdeig\') was used for high-accuracy material impact calculations:</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HDPE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Steel Plate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2.46</w:t>
            </w:r>
          </w:p>
        </w:tc>
        <w:tc>
          <w:tcPr/>
          <w:p>
            <w:pPr>
              <w:pStyle w:val="Compact"/>
              <w:jc w:val="left"/>
            </w:pPr>
            <w:r>
              <w:t xml:space="preserve">0.49</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Wiring (Copper)</w:t>
            </w:r>
          </w:p>
        </w:tc>
        <w:tc>
          <w:tcPr/>
          <w:p>
            <w:pPr>
              <w:pStyle w:val="Compact"/>
              <w:jc w:val="left"/>
            </w:pPr>
            <w:r>
              <w:t xml:space="preserve">Metals</w:t>
            </w:r>
          </w:p>
        </w:tc>
        <w:tc>
          <w:tcPr/>
          <w:p>
            <w:pPr>
              <w:pStyle w:val="Compact"/>
              <w:jc w:val="left"/>
            </w:pPr>
            <w:r>
              <w:t xml:space="preserve">Copper 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numPr>
          <w:ilvl w:val="0"/>
          <w:numId w:val="1000"/>
        </w:numPr>
      </w:pPr>
      <w:r>
        <w:rPr>
          <w:iCs/>
          <w:i/>
        </w:rPr>
        <w:t xml:space="preserve">Note: Emission factors for materials are based on industry averages (e.g., Ecoinvent/DEFRA equivalents) where specific supplier data was not available. For example, steel production factor is approximately 2.46 kgCO2e/kg, HDPE plastic production is approximately 2.0 kgCO2e/kg (an average within the 1.65-2.15 kgCO2e/kg range), and other material factors are estimated based on common proxies.</w:t>
      </w:r>
    </w:p>
    <w:p>
      <w:pPr>
        <w:numPr>
          <w:ilvl w:val="0"/>
          <w:numId w:val="1000"/>
        </w:numPr>
        <w:pStyle w:val="Heading4"/>
      </w:pPr>
      <w:bookmarkStart w:id="29" w:name="production-energy-data"/>
      <w:r>
        <w:t xml:space="preserve">Production Energy Data</w:t>
      </w:r>
      <w:bookmarkEnd w:id="29"/>
    </w:p>
    <w:p>
      <w:pPr>
        <w:numPr>
          <w:ilvl w:val="1"/>
          <w:numId w:val="1004"/>
        </w:numPr>
        <w:pStyle w:val="Compact"/>
      </w:pPr>
      <w:r>
        <w:rPr>
          <w:bCs/>
          <w:b/>
        </w:rPr>
        <w:t xml:space="preserve">Energy Intensity (kWh/unit):</w:t>
      </w:r>
      <w:r>
        <w:t xml:space="preserve"> </w:t>
      </w:r>
      <w:r>
        <w:t xml:space="preserve">jdovltzulv (Assumed 25 kWh/unit for calculation).</w:t>
      </w:r>
    </w:p>
    <w:p>
      <w:pPr>
        <w:numPr>
          <w:ilvl w:val="1"/>
          <w:numId w:val="1004"/>
        </w:numPr>
        <w:pStyle w:val="Compact"/>
      </w:pPr>
      <w:r>
        <w:rPr>
          <w:bCs/>
          <w:b/>
        </w:rPr>
        <w:t xml:space="preserve">Renewable Energy Usage:</w:t>
      </w:r>
      <w:r>
        <w:t xml:space="preserve"> </w:t>
      </w:r>
      <w:r>
        <w:t xml:space="preserve">vunnzyzrwz (Assumed 70% of purchased electricity is from renewable sources).</w:t>
      </w:r>
    </w:p>
    <w:p>
      <w:pPr>
        <w:numPr>
          <w:ilvl w:val="1"/>
          <w:numId w:val="1004"/>
        </w:numPr>
        <w:pStyle w:val="Compact"/>
      </w:pPr>
      <w:r>
        <w:rPr>
          <w:bCs/>
          <w:b/>
        </w:rPr>
        <w:t xml:space="preserve">Grid Emission Factor (China):</w:t>
      </w:r>
      <w:r>
        <w:t xml:space="preserve"> </w:t>
      </w:r>
      <w:r>
        <w:t xml:space="preserve">0.6 kgCO2e/kWh (representative average for China\'s electricity grid).</w:t>
      </w:r>
    </w:p>
    <w:p>
      <w:pPr>
        <w:numPr>
          <w:ilvl w:val="0"/>
          <w:numId w:val="1000"/>
        </w:numPr>
        <w:pStyle w:val="Heading4"/>
      </w:pPr>
      <w:bookmarkStart w:id="30" w:name="logistics-data"/>
      <w:r>
        <w:t xml:space="preserve">Logistics Data</w:t>
      </w:r>
      <w:bookmarkEnd w:id="30"/>
    </w:p>
    <w:p>
      <w:pPr>
        <w:numPr>
          <w:ilvl w:val="1"/>
          <w:numId w:val="1005"/>
        </w:numPr>
        <w:pStyle w:val="Compact"/>
      </w:pPr>
      <w:r>
        <w:rPr>
          <w:bCs/>
          <w:b/>
        </w:rPr>
        <w:t xml:space="preserve">Total Product Weight:</w:t>
      </w:r>
      <w:r>
        <w:t xml:space="preserve"> </w:t>
      </w:r>
      <w:r>
        <w:t xml:space="preserve">Sum of BOM material weights = 0.5 + 0.8 + 0.2 + 0.1 + 0.05 = 1.65 kg (assumed for transport calculations).</w:t>
      </w:r>
    </w:p>
    <w:p>
      <w:pPr>
        <w:numPr>
          <w:ilvl w:val="1"/>
          <w:numId w:val="1005"/>
        </w:numPr>
        <w:pStyle w:val="Compact"/>
      </w:pPr>
      <w:r>
        <w:rPr>
          <w:bCs/>
          <w:b/>
        </w:rPr>
        <w:t xml:space="preserve">Primary Transport Mode:</w:t>
      </w:r>
      <w:r>
        <w:t xml:space="preserve"> </w:t>
      </w:r>
      <w:r>
        <w:t xml:space="preserve">Select Mode (Assumed Road freight (Heavy Goods Vehicle &gt; 32t) for Europe-China segment, where applicable).</w:t>
      </w:r>
    </w:p>
    <w:p>
      <w:pPr>
        <w:numPr>
          <w:ilvl w:val="1"/>
          <w:numId w:val="1005"/>
        </w:numPr>
        <w:pStyle w:val="Compact"/>
      </w:pPr>
      <w:r>
        <w:rPr>
          <w:bCs/>
          <w:b/>
        </w:rPr>
        <w:t xml:space="preserve">Primary Transport Distance:</w:t>
      </w:r>
      <w:r>
        <w:t xml:space="preserve"> </w:t>
      </w:r>
      <w:r>
        <w:t xml:space="preserve">rtgevgxtei (Assumed 1500 km for inbound materials and initial outbound distribution).</w:t>
      </w:r>
    </w:p>
    <w:p>
      <w:pPr>
        <w:numPr>
          <w:ilvl w:val="1"/>
          <w:numId w:val="1005"/>
        </w:numPr>
        <w:pStyle w:val="Compact"/>
      </w:pPr>
      <w:r>
        <w:rPr>
          <w:bCs/>
          <w:b/>
        </w:rPr>
        <w:t xml:space="preserve">Last-Mile Delivery Channel:</w:t>
      </w:r>
      <w:r>
        <w:t xml:space="preserve"> </w:t>
      </w:r>
      <w:r>
        <w:t xml:space="preserve">Delivery Type (Assumed Van delivery).</w:t>
      </w:r>
    </w:p>
    <w:p>
      <w:pPr>
        <w:numPr>
          <w:ilvl w:val="1"/>
          <w:numId w:val="1005"/>
        </w:numPr>
        <w:pStyle w:val="Compact"/>
      </w:pPr>
      <w:r>
        <w:rPr>
          <w:bCs/>
          <w:b/>
        </w:rPr>
        <w:t xml:space="preserve">Last-Mile Delivery Distance:</w:t>
      </w:r>
      <w:r>
        <w:t xml:space="preserve"> </w:t>
      </w:r>
      <w:r>
        <w:t xml:space="preserve">Assumed 50 km per unit.</w:t>
      </w:r>
    </w:p>
    <w:p>
      <w:pPr>
        <w:numPr>
          <w:ilvl w:val="1"/>
          <w:numId w:val="1005"/>
        </w:numPr>
        <w:pStyle w:val="Compact"/>
      </w:pPr>
      <w:r>
        <w:rPr>
          <w:bCs/>
          <w:b/>
        </w:rPr>
        <w:t xml:space="preserve">Road Freight Emission Factor (HGV):</w:t>
      </w:r>
      <w:r>
        <w:t xml:space="preserve"> </w:t>
      </w:r>
      <w:r>
        <w:t xml:space="preserve">0.1 kgCO2e/tkm (representative for European logistics).</w:t>
      </w:r>
    </w:p>
    <w:p>
      <w:pPr>
        <w:numPr>
          <w:ilvl w:val="1"/>
          <w:numId w:val="1005"/>
        </w:numPr>
        <w:pStyle w:val="Compact"/>
      </w:pPr>
      <w:r>
        <w:rPr>
          <w:bCs/>
          <w:b/>
        </w:rPr>
        <w:t xml:space="preserve">Van Delivery Emission Factor:</w:t>
      </w:r>
      <w:r>
        <w:t xml:space="preserve"> </w:t>
      </w:r>
      <w:r>
        <w:t xml:space="preserve">0.24934 kgCO2e/km.</w:t>
      </w:r>
    </w:p>
    <w:p>
      <w:pPr>
        <w:numPr>
          <w:ilvl w:val="0"/>
          <w:numId w:val="1000"/>
        </w:numPr>
        <w:pStyle w:val="Heading4"/>
      </w:pPr>
      <w:bookmarkStart w:id="31" w:name="use-phase-data"/>
      <w:r>
        <w:t xml:space="preserve">Use Phase Data</w:t>
      </w:r>
      <w:bookmarkEnd w:id="31"/>
    </w:p>
    <w:p>
      <w:pPr>
        <w:numPr>
          <w:ilvl w:val="1"/>
          <w:numId w:val="1006"/>
        </w:numPr>
        <w:pStyle w:val="Compact"/>
      </w:pPr>
      <w:r>
        <w:rPr>
          <w:bCs/>
          <w:b/>
        </w:rPr>
        <w:t xml:space="preserve">Product Lifespan:</w:t>
      </w:r>
      <w:r>
        <w:t xml:space="preserve"> </w:t>
      </w:r>
      <w:r>
        <w:t xml:space="preserve">xgfinvzilm (Assumed 5 years).</w:t>
      </w:r>
    </w:p>
    <w:p>
      <w:pPr>
        <w:numPr>
          <w:ilvl w:val="1"/>
          <w:numId w:val="1006"/>
        </w:numPr>
        <w:pStyle w:val="Compact"/>
      </w:pPr>
      <w:r>
        <w:rPr>
          <w:bCs/>
          <w:b/>
        </w:rPr>
        <w:t xml:space="preserve">Energy Consumption in Use:</w:t>
      </w:r>
      <w:r>
        <w:t xml:space="preserve"> </w:t>
      </w:r>
      <w:r>
        <w:t xml:space="preserve">sxgrqrlunz (Assumed 15 kWh/year).</w:t>
      </w:r>
    </w:p>
    <w:p>
      <w:pPr>
        <w:numPr>
          <w:ilvl w:val="1"/>
          <w:numId w:val="1006"/>
        </w:numPr>
        <w:pStyle w:val="Compact"/>
      </w:pPr>
      <w:r>
        <w:rPr>
          <w:bCs/>
          <w:b/>
        </w:rPr>
        <w:t xml:space="preserve">Average Grid Emission Factor (Global):</w:t>
      </w:r>
      <w:r>
        <w:t xml:space="preserve"> </w:t>
      </w:r>
      <w:r>
        <w:t xml:space="preserve">0.4 kgCO2e/kWh (used as a proxy for diverse end-user locations).</w:t>
      </w:r>
    </w:p>
    <w:p>
      <w:pPr>
        <w:numPr>
          <w:ilvl w:val="0"/>
          <w:numId w:val="1000"/>
        </w:numPr>
        <w:pStyle w:val="Heading4"/>
      </w:pPr>
      <w:bookmarkStart w:id="32" w:name="end-of-life-eol-data"/>
      <w:r>
        <w:t xml:space="preserve">End-of-Life (EoL) Data</w:t>
      </w:r>
      <w:bookmarkEnd w:id="32"/>
    </w:p>
    <w:p>
      <w:pPr>
        <w:numPr>
          <w:ilvl w:val="1"/>
          <w:numId w:val="1007"/>
        </w:numPr>
        <w:pStyle w:val="Compact"/>
      </w:pPr>
      <w:r>
        <w:rPr>
          <w:bCs/>
          <w:b/>
        </w:rPr>
        <w:t xml:space="preserve">Recyclability Percentage:</w:t>
      </w:r>
      <w:r>
        <w:t xml:space="preserve"> </w:t>
      </w:r>
      <w:r>
        <w:t xml:space="preserve">ozyrwhzkkd (Assumed 85% by weight).</w:t>
      </w:r>
    </w:p>
    <w:p>
      <w:pPr>
        <w:numPr>
          <w:ilvl w:val="1"/>
          <w:numId w:val="1007"/>
        </w:numPr>
        <w:pStyle w:val="Compact"/>
      </w:pPr>
      <w:r>
        <w:rPr>
          <w:bCs/>
          <w:b/>
        </w:rPr>
        <w:t xml:space="preserve">Circular/Take-back Programs:</w:t>
      </w:r>
      <w:r>
        <w:t xml:space="preserve"> </w:t>
      </w:r>
      <w:r>
        <w:t xml:space="preserve">hdvsezfwmw (Assumed "Yes, well-established"). This implies effective collection and processing infrastructure.</w:t>
      </w:r>
    </w:p>
    <w:p>
      <w:pPr>
        <w:numPr>
          <w:ilvl w:val="1"/>
          <w:numId w:val="1007"/>
        </w:numPr>
        <w:pStyle w:val="Compact"/>
      </w:pPr>
      <w:r>
        <w:rPr>
          <w:bCs/>
          <w:b/>
        </w:rPr>
        <w:t xml:space="preserve">Landfill Emission Factor:</w:t>
      </w:r>
      <w:r>
        <w:t xml:space="preserve"> </w:t>
      </w:r>
      <w:r>
        <w:t xml:space="preserve">Assumed negligible direct emissions for the non-recycled portion, as the primary impact is either avoided by recycling or embedded in waste management infrastructure.</w:t>
      </w:r>
    </w:p>
    <w:p>
      <w:pPr>
        <w:numPr>
          <w:ilvl w:val="0"/>
          <w:numId w:val="1001"/>
        </w:numPr>
        <w:pStyle w:val="Heading3"/>
      </w:pPr>
      <w:bookmarkStart w:id="33" w:name="Xb404f6bea4a0013006ec7a9103609d9ea6643c1"/>
      <w:r>
        <w:t xml:space="preserve">Calculate Emissions (Activity * Emission Factor = CO2e)</w:t>
      </w:r>
      <w:bookmarkEnd w:id="33"/>
    </w:p>
    <w:p>
      <w:pPr>
        <w:numPr>
          <w:ilvl w:val="0"/>
          <w:numId w:val="1000"/>
        </w:numPr>
      </w:pPr>
      <w:r>
        <w:t xml:space="preserve">Emissions are calculated for each stage by multiplying activity data (e.g., kg of material, kWh of energy, tkm of transport) by relevant emission factors (CO2e/unit of activity). These are then categorized according to the GHG Protocol scopes.</w:t>
      </w:r>
    </w:p>
    <w:p>
      <w:pPr>
        <w:numPr>
          <w:ilvl w:val="0"/>
          <w:numId w:val="1000"/>
        </w:numPr>
        <w:pStyle w:val="Heading4"/>
      </w:pPr>
      <w:bookmarkStart w:id="34" w:name="scope-1-emissions-direct-emissions"/>
      <w:r>
        <w:t xml:space="preserve">Scope 1 Emissions (Direct Emissions)</w:t>
      </w:r>
      <w:bookmarkEnd w:id="34"/>
    </w:p>
    <w:p>
      <w:pPr>
        <w:numPr>
          <w:ilvl w:val="0"/>
          <w:numId w:val="1000"/>
        </w:numPr>
      </w:pPr>
      <w:r>
        <w:t xml:space="preserve">For this product carbon footprint analysis, direct GHG emissions (Scope 1) from owned or controlled sources of lzfggegrkg\'s manufacturing operations are assumed to be minimal or embedded within the overall production energy intensity, as specific direct fuel consumption data was not provided. If lzfggegrkg operates machinery with direct fossil fuel combustion on-site, those emissions would fall under Scope 1. For the purpose of this PCF, the primary focus for operational emissions is Scope 2.</w:t>
      </w:r>
    </w:p>
    <w:p>
      <w:pPr>
        <w:numPr>
          <w:ilvl w:val="0"/>
          <w:numId w:val="1000"/>
        </w:numPr>
        <w:pStyle w:val="Heading4"/>
      </w:pPr>
      <w:bookmarkStart w:id="35" w:name="scope-2-emissions-purchased-energy"/>
      <w:r>
        <w:t xml:space="preserve">Scope 2 Emissions (Purchased Energy)</w:t>
      </w:r>
      <w:bookmarkEnd w:id="35"/>
    </w:p>
    <w:p>
      <w:pPr>
        <w:numPr>
          <w:ilvl w:val="0"/>
          <w:numId w:val="1000"/>
        </w:numPr>
      </w:pPr>
      <w:r>
        <w:t xml:space="preserve">These are indirect emissions from the generation of purchased electricity for manufacturing stnknmzhdu.</w:t>
      </w:r>
    </w:p>
    <w:p>
      <w:pPr>
        <w:numPr>
          <w:ilvl w:val="1"/>
          <w:numId w:val="1008"/>
        </w:numPr>
        <w:pStyle w:val="Compact"/>
      </w:pPr>
      <w:r>
        <w:t xml:space="preserve">Total production energy: 25 kWh/unit</w:t>
      </w:r>
    </w:p>
    <w:p>
      <w:pPr>
        <w:numPr>
          <w:ilvl w:val="1"/>
          <w:numId w:val="1008"/>
        </w:numPr>
        <w:pStyle w:val="Compact"/>
      </w:pPr>
      <w:r>
        <w:t xml:space="preserve">Non-renewable energy portion: 25 kWh/unit * (1 - 70% renewable usage) = 25 * 0.30 = 7.5 kWh/unit</w:t>
      </w:r>
    </w:p>
    <w:p>
      <w:pPr>
        <w:numPr>
          <w:ilvl w:val="1"/>
          <w:numId w:val="1008"/>
        </w:numPr>
        <w:pStyle w:val="Compact"/>
      </w:pPr>
      <w:r>
        <w:t xml:space="preserve">Scope 2 Emissions = 7.5 kWh/unit * 0.6 kgCO2e/kWh (China grid) = 4.5 kgCO2e/unit</w:t>
      </w:r>
    </w:p>
    <w:p>
      <w:pPr>
        <w:numPr>
          <w:ilvl w:val="0"/>
          <w:numId w:val="1000"/>
        </w:numPr>
        <w:pStyle w:val="Heading4"/>
      </w:pPr>
      <w:bookmarkStart w:id="36" w:name="scope-3-emissions-value-chain-emissions"/>
      <w:r>
        <w:t xml:space="preserve">Scope 3 Emissions (Value Chain Emissions)</w:t>
      </w:r>
      <w:bookmarkEnd w:id="36"/>
    </w:p>
    <w:p>
      <w:pPr>
        <w:numPr>
          <w:ilvl w:val="0"/>
          <w:numId w:val="1000"/>
        </w:numPr>
      </w:pPr>
      <w:r>
        <w:t xml:space="preserve">Scope 3 emissions encompass all other indirect emissions occurring in the value chain, both upstream and downstream. This typically represents the largest portion of a product\'s carbon footprint.</w:t>
      </w:r>
    </w:p>
    <w:p>
      <w:pPr>
        <w:numPr>
          <w:ilvl w:val="0"/>
          <w:numId w:val="1000"/>
        </w:numPr>
        <w:pStyle w:val="Heading5"/>
      </w:pPr>
      <w:bookmarkStart w:id="37" w:name="upstream-emissions"/>
      <w:r>
        <w:t xml:space="preserve">Upstream Emissions</w:t>
      </w:r>
      <w:bookmarkEnd w:id="37"/>
    </w:p>
    <w:p>
      <w:pPr>
        <w:numPr>
          <w:ilvl w:val="1"/>
          <w:numId w:val="1009"/>
        </w:numPr>
        <w:pStyle w:val="Compact"/>
      </w:pPr>
      <w:r>
        <w:rPr>
          <w:bCs/>
          <w:b/>
        </w:rPr>
        <w:t xml:space="preserve">Materials Acquisition &amp; Pre-processing:</w:t>
      </w:r>
    </w:p>
    <w:p>
      <w:pPr>
        <w:numPr>
          <w:ilvl w:val="2"/>
          <w:numId w:val="1010"/>
        </w:numPr>
        <w:pStyle w:val="Compact"/>
      </w:pPr>
      <w:r>
        <w:t xml:space="preserve">Total Carbon from BOM: 3.50 (Aluminum) + 1.60 (HDPE) + 0.49 (Steel) + 1.00 (PCB) + 0.20 (Copper) = 6.79 kgCO2e/unit.</w:t>
      </w:r>
    </w:p>
    <w:p>
      <w:pPr>
        <w:numPr>
          <w:ilvl w:val="2"/>
          <w:numId w:val="1010"/>
        </w:numPr>
        <w:pStyle w:val="Compact"/>
      </w:pPr>
      <w:r>
        <w:t xml:space="preserve">These emissions are already provided as "Total Carbon" in the BOM, representing the cradle-to-gate impact of each material.</w:t>
      </w:r>
    </w:p>
    <w:p>
      <w:pPr>
        <w:numPr>
          <w:ilvl w:val="1"/>
          <w:numId w:val="1009"/>
        </w:numPr>
        <w:pStyle w:val="Compact"/>
      </w:pPr>
      <w:r>
        <w:rPr>
          <w:bCs/>
          <w:b/>
        </w:rPr>
        <w:t xml:space="preserve">Upstream Transportation (Inbound Logistics):</w:t>
      </w:r>
    </w:p>
    <w:p>
      <w:pPr>
        <w:numPr>
          <w:ilvl w:val="2"/>
          <w:numId w:val="1011"/>
        </w:numPr>
        <w:pStyle w:val="Compact"/>
      </w:pPr>
      <w:r>
        <w:t xml:space="preserve">Assumed average product weight for transport: 1.65 kg (from BOM sum).</w:t>
      </w:r>
    </w:p>
    <w:p>
      <w:pPr>
        <w:numPr>
          <w:ilvl w:val="2"/>
          <w:numId w:val="1011"/>
        </w:numPr>
        <w:pStyle w:val="Compact"/>
      </w:pPr>
      <w:r>
        <w:t xml:space="preserve">Primary Transport (e.g., Europe to China): (1.65 kg / 1000 kg/tonne) * 1500 km * 0.1 kgCO2e/tkm = 0.2475 kgCO2e/unit.</w:t>
      </w:r>
    </w:p>
    <w:p>
      <w:pPr>
        <w:numPr>
          <w:ilvl w:val="0"/>
          <w:numId w:val="1000"/>
        </w:numPr>
        <w:pStyle w:val="Heading5"/>
      </w:pPr>
      <w:bookmarkStart w:id="38" w:name="downstream-emissions"/>
      <w:r>
        <w:t xml:space="preserve">Downstream Emissions</w:t>
      </w:r>
      <w:bookmarkEnd w:id="38"/>
    </w:p>
    <w:p>
      <w:pPr>
        <w:numPr>
          <w:ilvl w:val="1"/>
          <w:numId w:val="1012"/>
        </w:numPr>
        <w:pStyle w:val="Compact"/>
      </w:pPr>
      <w:r>
        <w:rPr>
          <w:bCs/>
          <w:b/>
        </w:rPr>
        <w:t xml:space="preserve">Downstream Transportation (Outbound Logistics &amp; Last-Mile Delivery):</w:t>
      </w:r>
    </w:p>
    <w:p>
      <w:pPr>
        <w:numPr>
          <w:ilvl w:val="2"/>
          <w:numId w:val="1013"/>
        </w:numPr>
        <w:pStyle w:val="Compact"/>
      </w:pPr>
      <w:r>
        <w:t xml:space="preserve">Outbound transport from factory (assuming part of the 1500 km distance): Already included in the "Primary Transport" for simplicity here, as the focus is on the total journey.</w:t>
      </w:r>
    </w:p>
    <w:p>
      <w:pPr>
        <w:numPr>
          <w:ilvl w:val="2"/>
          <w:numId w:val="1013"/>
        </w:numPr>
        <w:pStyle w:val="Compact"/>
      </w:pPr>
      <w:r>
        <w:t xml:space="preserve">Last-Mile Delivery: 50 km * 0.24934 kgCO2e/km = 12.47 kgCO2e/unit.</w:t>
      </w:r>
    </w:p>
    <w:p>
      <w:pPr>
        <w:numPr>
          <w:ilvl w:val="1"/>
          <w:numId w:val="1012"/>
        </w:numPr>
        <w:pStyle w:val="Compact"/>
      </w:pPr>
      <w:r>
        <w:rPr>
          <w:bCs/>
          <w:b/>
        </w:rPr>
        <w:t xml:space="preserve">Use Phase Emissions:</w:t>
      </w:r>
    </w:p>
    <w:p>
      <w:pPr>
        <w:numPr>
          <w:ilvl w:val="2"/>
          <w:numId w:val="1014"/>
        </w:numPr>
        <w:pStyle w:val="Compact"/>
      </w:pPr>
      <w:r>
        <w:t xml:space="preserve">Total energy consumption over lifespan: 15 kWh/year * 5 years = 75 kWh/unit</w:t>
      </w:r>
    </w:p>
    <w:p>
      <w:pPr>
        <w:numPr>
          <w:ilvl w:val="2"/>
          <w:numId w:val="1014"/>
        </w:numPr>
        <w:pStyle w:val="Compact"/>
      </w:pPr>
      <w:r>
        <w:t xml:space="preserve">Use Phase Emissions = 75 kWh/unit * 0.4 kgCO2e/kWh (global average grid) = 30.0 kgCO2e/unit.</w:t>
      </w:r>
    </w:p>
    <w:p>
      <w:pPr>
        <w:numPr>
          <w:ilvl w:val="1"/>
          <w:numId w:val="1012"/>
        </w:numPr>
        <w:pStyle w:val="Compact"/>
      </w:pPr>
      <w:r>
        <w:rPr>
          <w:bCs/>
          <w:b/>
        </w:rPr>
        <w:t xml:space="preserve">End-of-Life (EoL) Emissions:</w:t>
      </w:r>
    </w:p>
    <w:p>
      <w:pPr>
        <w:numPr>
          <w:ilvl w:val="2"/>
          <w:numId w:val="1015"/>
        </w:numPr>
        <w:pStyle w:val="Compact"/>
      </w:pPr>
      <w:r>
        <w:t xml:space="preserve">Recyclability Percentage: 85%</w:t>
      </w:r>
    </w:p>
    <w:p>
      <w:pPr>
        <w:numPr>
          <w:ilvl w:val="2"/>
          <w:numId w:val="1015"/>
        </w:numPr>
        <w:pStyle w:val="Compact"/>
      </w:pPr>
      <w:r>
        <w:t xml:space="preserve">Non-recycled portion: 15%</w:t>
      </w:r>
    </w:p>
    <w:p>
      <w:pPr>
        <w:numPr>
          <w:ilvl w:val="2"/>
          <w:numId w:val="1015"/>
        </w:numPr>
        <w:pStyle w:val="Compact"/>
      </w:pPr>
      <w:r>
        <w:t xml:space="preserve">Total mass of product: 1.65 kg</w:t>
      </w:r>
    </w:p>
    <w:p>
      <w:pPr>
        <w:numPr>
          <w:ilvl w:val="2"/>
          <w:numId w:val="1015"/>
        </w:numPr>
        <w:pStyle w:val="Compact"/>
      </w:pPr>
      <w:r>
        <w:t xml:space="preserve">Recycled mass: 1.65 kg * 0.85 = 1.4025 kg</w:t>
      </w:r>
    </w:p>
    <w:p>
      <w:pPr>
        <w:numPr>
          <w:ilvl w:val="2"/>
          <w:numId w:val="1015"/>
        </w:numPr>
        <w:pStyle w:val="Compact"/>
      </w:pPr>
      <w:r>
        <w:t xml:space="preserve">Landfilled mass: 1.65 kg * 0.15 = 0.2475 kg</w:t>
      </w:r>
    </w:p>
    <w:p>
      <w:pPr>
        <w:numPr>
          <w:ilvl w:val="2"/>
          <w:numId w:val="1015"/>
        </w:numPr>
        <w:pStyle w:val="Compact"/>
      </w:pPr>
      <w:r>
        <w:rPr>
          <w:bCs/>
          <w:b/>
        </w:rPr>
        <w:t xml:space="preserve">Avoided Emissions from Recycling:</w:t>
      </w:r>
      <w:r>
        <w:t xml:space="preserve"> </w:t>
      </w:r>
      <w:r>
        <w:t xml:space="preserve">Assuming that recycling avoids the production of virgin material, the avoided emissions are estimated. For simplicity, we apply a credit equivalent to the average virgin material emission factor for the recycled mass. Given an average material EF from the BOM (Total Carbon / Total Qty) = 6.79 kgCO2e / 1.65 kg = 4.115 kgCO2e/kg.</w:t>
      </w:r>
    </w:p>
    <w:p>
      <w:pPr>
        <w:numPr>
          <w:ilvl w:val="3"/>
          <w:numId w:val="1016"/>
        </w:numPr>
        <w:pStyle w:val="Compact"/>
      </w:pPr>
      <w:r>
        <w:t xml:space="preserve">Avoided Emissions = - (1.4025 kg * 4.115 kgCO2e/kg) = -5.77 kgCO2e/unit.</w:t>
      </w:r>
    </w:p>
    <w:p>
      <w:pPr>
        <w:numPr>
          <w:ilvl w:val="3"/>
          <w:numId w:val="1016"/>
        </w:numPr>
        <w:pStyle w:val="Compact"/>
      </w:pPr>
      <w:r>
        <w:rPr>
          <w:iCs/>
          <w:i/>
        </w:rPr>
        <w:t xml:space="preserve">Note: Per the cut-off method, the avoided emissions from recycling are sometimes reported separately or as a negative impact. For this report, they are included in the EoL calculation to show the net impact.</w:t>
      </w:r>
    </w:p>
    <w:p>
      <w:pPr>
        <w:numPr>
          <w:ilvl w:val="2"/>
          <w:numId w:val="1015"/>
        </w:numPr>
        <w:pStyle w:val="Compact"/>
      </w:pPr>
      <w:r>
        <w:rPr>
          <w:bCs/>
          <w:b/>
        </w:rPr>
        <w:t xml:space="preserve">Disposal Emissions (Landfill):</w:t>
      </w:r>
      <w:r>
        <w:t xml:space="preserve"> </w:t>
      </w:r>
      <w:r>
        <w:t xml:space="preserve">Assumed minor or embedded in waste management systems. For quantitative estimation, we\'ll assign a small factor, e.g., 0.1 kgCO2e/kg for landfilled waste.</w:t>
      </w:r>
    </w:p>
    <w:p>
      <w:pPr>
        <w:numPr>
          <w:ilvl w:val="3"/>
          <w:numId w:val="1017"/>
        </w:numPr>
        <w:pStyle w:val="Compact"/>
      </w:pPr>
      <w:r>
        <w:t xml:space="preserve">Disposal Emissions = 0.2475 kg * 0.1 kgCO2e/kg = 0.02475 kgCO2e/unit.</w:t>
      </w:r>
    </w:p>
    <w:p>
      <w:pPr>
        <w:numPr>
          <w:ilvl w:val="2"/>
          <w:numId w:val="1015"/>
        </w:numPr>
        <w:pStyle w:val="Compact"/>
      </w:pPr>
      <w:r>
        <w:rPr>
          <w:bCs/>
          <w:b/>
        </w:rPr>
        <w:t xml:space="preserve">Net End-of-Life Emissions:</w:t>
      </w:r>
      <w:r>
        <w:t xml:space="preserve"> </w:t>
      </w:r>
      <w:r>
        <w:t xml:space="preserve">0.02475 kgCO2e/unit (disposal) - 5.77 kgCO2e/unit (avoided) = -5.74525 kgCO2e/unit.</w:t>
      </w:r>
    </w:p>
    <w:p>
      <w:pPr>
        <w:numPr>
          <w:ilvl w:val="0"/>
          <w:numId w:val="1000"/>
        </w:numPr>
        <w:pStyle w:val="Heading4"/>
      </w:pPr>
      <w:bookmarkStart w:id="39" w:name="summary-of-emissions-by-scope-kgco2eunit"/>
      <w:r>
        <w:t xml:space="preserve">Summary of Emissions by Scope (kgCO2e/unit)</w:t>
      </w:r>
      <w:bookmarkEnd w:id="39"/>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 (Assumed negligible for PCF direct operations, unless specific fuel combustion data is provided)</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4.50</w:t>
            </w:r>
          </w:p>
        </w:tc>
      </w:tr>
      <w:tr>
        <w:tc>
          <w:tcPr>
            <w:vMerge w:val="restart"/>
          </w:tcPr>
          <w:p>
            <w:pPr>
              <w:pStyle w:val="Compact"/>
              <w:jc w:val="left"/>
            </w:pPr>
            <w:r>
              <w:t xml:space="preserve">Scope 3</w:t>
            </w:r>
          </w:p>
        </w:tc>
        <w:tc>
          <w:tcPr/>
          <w:p>
            <w:pPr>
              <w:pStyle w:val="Compact"/>
              <w:jc w:val="left"/>
            </w:pPr>
            <w:r>
              <w:t xml:space="preserve">Materials Acquisition &amp; Pre-processing (Upstream)</w:t>
            </w:r>
          </w:p>
        </w:tc>
        <w:tc>
          <w:tcPr/>
          <w:p>
            <w:pPr>
              <w:pStyle w:val="Compact"/>
              <w:jc w:val="left"/>
            </w:pPr>
            <w:r>
              <w:t xml:space="preserve">6.79</w:t>
            </w:r>
          </w:p>
        </w:tc>
      </w:tr>
      <w:tr>
        <w:tc>
          <w:tcPr>
            <w:gridSpan w:val="1"/>
            <w:vMerge w:val="continue"/>
          </w:tcPr>
          <w:p>
            <w:pPr/>
          </w:p>
        </w:tc>
        <w:tc>
          <w:tcPr/>
          <w:p>
            <w:pPr>
              <w:pStyle w:val="Compact"/>
              <w:jc w:val="left"/>
            </w:pPr>
            <w:r>
              <w:t xml:space="preserve">Upstream Transportation (Inbound)</w:t>
            </w:r>
          </w:p>
        </w:tc>
        <w:tc>
          <w:tcPr/>
          <w:p>
            <w:pPr>
              <w:pStyle w:val="Compact"/>
              <w:jc w:val="left"/>
            </w:pPr>
            <w:r>
              <w:t xml:space="preserve">0.25</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12.47</w:t>
            </w:r>
          </w:p>
        </w:tc>
      </w:tr>
      <w:tr>
        <w:tc>
          <w:tcPr>
            <w:gridSpan w:val="1"/>
            <w:vMerge w:val="continue"/>
          </w:tcPr>
          <w:p>
            <w:pPr/>
          </w:p>
        </w:tc>
        <w:tc>
          <w:tcPr/>
          <w:p>
            <w:pPr>
              <w:pStyle w:val="Compact"/>
              <w:jc w:val="left"/>
            </w:pPr>
            <w:r>
              <w:t xml:space="preserve">Use Phase</w:t>
            </w:r>
          </w:p>
        </w:tc>
        <w:tc>
          <w:tcPr/>
          <w:p>
            <w:pPr>
              <w:pStyle w:val="Compact"/>
              <w:jc w:val="left"/>
            </w:pPr>
            <w:r>
              <w:t xml:space="preserve">30.00</w:t>
            </w:r>
          </w:p>
        </w:tc>
      </w:tr>
      <w:tr>
        <w:tc>
          <w:tcPr>
            <w:gridSpan w:val="1"/>
            <w:vMerge w:val="continue"/>
          </w:tcPr>
          <w:p>
            <w:pPr/>
          </w:p>
        </w:tc>
        <w:tc>
          <w:tcPr/>
          <w:p>
            <w:pPr>
              <w:pStyle w:val="Compact"/>
              <w:jc w:val="left"/>
            </w:pPr>
            <w:r>
              <w:t xml:space="preserve">End-of-Life (Net)</w:t>
            </w:r>
          </w:p>
        </w:tc>
        <w:tc>
          <w:tcPr/>
          <w:p>
            <w:pPr>
              <w:pStyle w:val="Compact"/>
              <w:jc w:val="left"/>
            </w:pPr>
            <w:r>
              <w:t xml:space="preserve">-5.75</w:t>
            </w:r>
          </w:p>
        </w:tc>
      </w:tr>
    </w:tbl>
    <w:p>
      <w:pPr>
        <w:numPr>
          <w:ilvl w:val="0"/>
          <w:numId w:val="1000"/>
        </w:numPr>
      </w:pPr>
      <w:r>
        <w:rPr>
          <w:bCs/>
          <w:b/>
        </w:rPr>
        <w:t xml:space="preserve">Total Product Carbon Footprint (PCF) for stnknmzhdu:</w:t>
      </w:r>
    </w:p>
    <w:p>
      <w:pPr>
        <w:numPr>
          <w:ilvl w:val="0"/>
          <w:numId w:val="1000"/>
        </w:numPr>
      </w:pPr>
      <w:r>
        <w:t xml:space="preserve">0.00 (Scope 1) + 4.50 (Scope 2) + 6.79 (Scope 3 Materials) + 0.25 (Scope 3 Upstream Transport) + 12.47 (Scope 3 Downstream Transport) + 30.00 (Scope 3 Use Phase) - 5.75 (Scope 3 EoL) =</w:t>
      </w:r>
      <w:r>
        <w:t xml:space="preserve"> </w:t>
      </w:r>
      <w:r>
        <w:rPr>
          <w:bCs/>
          <w:b/>
        </w:rPr>
        <w:t xml:space="preserve">48.26 kgCO2e/unit</w:t>
      </w:r>
    </w:p>
    <w:p>
      <w:pPr>
        <w:numPr>
          <w:ilvl w:val="0"/>
          <w:numId w:val="1000"/>
        </w:numPr>
        <w:pStyle w:val="Heading4"/>
      </w:pPr>
      <w:bookmarkStart w:id="40" w:name="X504f4a86e01fdcfa46a4589bb1b5e0cfaad8629"/>
      <w:r>
        <w:t xml:space="preserve">2026 Land Sector and Removals (LSR) Standard Update</w:t>
      </w:r>
      <w:bookmarkEnd w:id="40"/>
    </w:p>
    <w:p>
      <w:pPr>
        <w:numPr>
          <w:ilvl w:val="0"/>
          <w:numId w:val="1000"/>
        </w:numPr>
      </w:pPr>
      <w:r>
        <w:t xml:space="preserve">As of January 30, 2026, the GHG Protocol released its Land Sector and Removals (LSR) Standard, which provides requirements and guidance for accounting for emissions and carbon removals from agricultural and land use activities. This standard is set to take effect on January 1, 2027, with accompanying guidance expected in Q2 2026.</w:t>
      </w:r>
    </w:p>
    <w:p>
      <w:pPr>
        <w:numPr>
          <w:ilvl w:val="0"/>
          <w:numId w:val="1000"/>
        </w:numPr>
      </w:pPr>
      <w:r>
        <w:t xml:space="preserve">For the stnknmzhdu product, direct land-use change impacts were not explicitly quantified due to the nature of the product (manufactured goods) and the system boundary primarily focusing on industrial processes. However, the principles of the LSR Standard are acknowledged, and any potential land-use related emissions or removals associated with the raw materials (e.g., if bio-based materials were used) are considered to be embedded within the upstream material emission factors. For companies with significant land-based activities in their value chain, the LSR Standard introduces new required and optional accounting categories.</w:t>
      </w:r>
    </w:p>
    <w:p>
      <w:pPr>
        <w:numPr>
          <w:ilvl w:val="0"/>
          <w:numId w:val="1000"/>
        </w:numPr>
        <w:pStyle w:val="Heading4"/>
      </w:pPr>
      <w:bookmarkStart w:id="41" w:name="scope-3-compliance"/>
      <w:r>
        <w:t xml:space="preserve">Scope 3 Compliance</w:t>
      </w:r>
      <w:bookmarkEnd w:id="41"/>
    </w:p>
    <w:p>
      <w:pPr>
        <w:numPr>
          <w:ilvl w:val="0"/>
          <w:numId w:val="1000"/>
        </w:numPr>
      </w:pPr>
      <w:r>
        <w:t xml:space="preserve">This analysis has diligently strived for at least 95% coverage for Scope 3 reporting, as per 2026 requirements. The major categories of upstream and downstream emissions have been included: purchased goods and services (materials), upstream and downstream transportation, use of sold products, and end-of-life treatment of sold products. These categories typically represent the most significant sources of value chain emissions for manufactured products.</w:t>
      </w:r>
    </w:p>
    <w:p>
      <w:pPr>
        <w:numPr>
          <w:ilvl w:val="0"/>
          <w:numId w:val="1001"/>
        </w:numPr>
        <w:pStyle w:val="Heading3"/>
      </w:pPr>
      <w:bookmarkStart w:id="42" w:name="review-report-hotspots-and-reliability"/>
      <w:r>
        <w:t xml:space="preserve">Review &amp; Report (Hotspots and Reliability)</w:t>
      </w:r>
      <w:bookmarkEnd w:id="42"/>
    </w:p>
    <w:p>
      <w:pPr>
        <w:numPr>
          <w:ilvl w:val="0"/>
          <w:numId w:val="1000"/>
        </w:numPr>
      </w:pPr>
      <w:r>
        <w:t xml:space="preserve">The final step involves reviewing the results, identifying emission hotspots, and assessing the reliability of the data and calculations.</w:t>
      </w:r>
    </w:p>
    <w:p>
      <w:r>
        <w:pict>
          <v:rect style="width:0;height:1.5pt" o:hralign="center" o:hrstd="t" o:hr="t"/>
        </w:pict>
      </w:r>
    </w:p>
    <w:bookmarkEnd w:id="43"/>
    <w:bookmarkStart w:id="45" w:name="analysis-and-hotspots"/>
    <w:p>
      <w:pPr>
        <w:pStyle w:val="Heading2"/>
      </w:pPr>
      <w:r>
        <w:t xml:space="preserve">Analysis and Hotspots</w:t>
      </w:r>
    </w:p>
    <w:p>
      <w:pPr>
        <w:pStyle w:val="FirstParagraph"/>
      </w:pPr>
      <w:r>
        <w:t xml:space="preserve">The Product Carbon Footprint for stnknmzhdu is calculated to be</w:t>
      </w:r>
      <w:r>
        <w:t xml:space="preserve"> </w:t>
      </w:r>
      <w:r>
        <w:rPr>
          <w:bCs/>
          <w:b/>
        </w:rPr>
        <w:t xml:space="preserve">48.26 kgCO2e per unit</w:t>
      </w:r>
      <w:r>
        <w:t xml:space="preserve">. The analysis reveals the following emission hotspots:</w:t>
      </w:r>
    </w:p>
    <w:p>
      <w:pPr>
        <w:numPr>
          <w:ilvl w:val="0"/>
          <w:numId w:val="1018"/>
        </w:numPr>
        <w:pStyle w:val="Compact"/>
      </w:pPr>
      <w:r>
        <w:rPr>
          <w:bCs/>
          <w:b/>
        </w:rPr>
        <w:t xml:space="preserve">Use Phase (30.00 kgCO2e):</w:t>
      </w:r>
      <w:r>
        <w:t xml:space="preserve"> </w:t>
      </w:r>
      <w:r>
        <w:t xml:space="preserve">The most significant contributor to the total PCF is the energy consumed during the product\'s 5-year lifespan. This highlights the importance of energy efficiency in product design and the reliance on cleaner energy grids for consumers.</w:t>
      </w:r>
    </w:p>
    <w:p>
      <w:pPr>
        <w:numPr>
          <w:ilvl w:val="0"/>
          <w:numId w:val="1018"/>
        </w:numPr>
        <w:pStyle w:val="Compact"/>
      </w:pPr>
      <w:r>
        <w:rPr>
          <w:bCs/>
          <w:b/>
        </w:rPr>
        <w:t xml:space="preserve">Downstream Transportation (Last-Mile, 12.47 kgCO2e):</w:t>
      </w:r>
      <w:r>
        <w:t xml:space="preserve"> </w:t>
      </w:r>
      <w:r>
        <w:t xml:space="preserve">Last-mile delivery accounts for a substantial portion, indicating opportunities for optimized logistics, electric vehicle adoption, or local distribution strategies.</w:t>
      </w:r>
    </w:p>
    <w:p>
      <w:pPr>
        <w:numPr>
          <w:ilvl w:val="0"/>
          <w:numId w:val="1018"/>
        </w:numPr>
        <w:pStyle w:val="Compact"/>
      </w:pPr>
      <w:r>
        <w:rPr>
          <w:bCs/>
          <w:b/>
        </w:rPr>
        <w:t xml:space="preserve">Materials Acquisition &amp; Pre-processing (6.79 kgCO2e):</w:t>
      </w:r>
      <w:r>
        <w:t xml:space="preserve"> </w:t>
      </w:r>
      <w:r>
        <w:t xml:space="preserve">The production of raw materials, particularly aluminum, electronics, and plastics, represents a notable impact. Sourcing lower-carbon materials or increasing recycled content can mitigate this.</w:t>
      </w:r>
    </w:p>
    <w:p>
      <w:pPr>
        <w:numPr>
          <w:ilvl w:val="0"/>
          <w:numId w:val="1018"/>
        </w:numPr>
        <w:pStyle w:val="Compact"/>
      </w:pPr>
      <w:r>
        <w:rPr>
          <w:bCs/>
          <w:b/>
        </w:rPr>
        <w:t xml:space="preserve">End-of-Life (Net -5.75 kgCO2e):</w:t>
      </w:r>
      <w:r>
        <w:t xml:space="preserve"> </w:t>
      </w:r>
      <w:r>
        <w:t xml:space="preserve">The significant negative contribution indicates that the established circular/take-back programs and high recyclability effectively avoid a considerable amount of virgin material production emissions, demonstrating the benefits of a circular economy approach.</w:t>
      </w:r>
    </w:p>
    <w:p>
      <w:pPr>
        <w:numPr>
          <w:ilvl w:val="0"/>
          <w:numId w:val="1018"/>
        </w:numPr>
        <w:pStyle w:val="Compact"/>
      </w:pPr>
      <w:r>
        <w:rPr>
          <w:bCs/>
          <w:b/>
        </w:rPr>
        <w:t xml:space="preserve">Production (Scope 2, 4.50 kgCO2e):</w:t>
      </w:r>
      <w:r>
        <w:t xml:space="preserve"> </w:t>
      </w:r>
      <w:r>
        <w:t xml:space="preserve">While notable, the impact here is managed by the 70% renewable energy usage. Further increasing renewable energy sourcing at the production facility would reduce this.</w:t>
      </w:r>
    </w:p>
    <w:bookmarkStart w:id="44" w:name="reliability-and-limitations"/>
    <w:p>
      <w:pPr>
        <w:pStyle w:val="Heading3"/>
      </w:pPr>
      <w:r>
        <w:t xml:space="preserve">Reliability and Limitations</w:t>
      </w:r>
    </w:p>
    <w:p>
      <w:pPr>
        <w:pStyle w:val="FirstParagraph"/>
      </w:pPr>
      <w:r>
        <w:t xml:space="preserve">The reliability of this PCF analysis is contingent upon the accuracy and representativeness of the input data.</w:t>
      </w:r>
    </w:p>
    <w:p>
      <w:pPr>
        <w:numPr>
          <w:ilvl w:val="0"/>
          <w:numId w:val="1019"/>
        </w:numPr>
        <w:pStyle w:val="Compact"/>
      </w:pPr>
      <w:r>
        <w:rPr>
          <w:bCs/>
          <w:b/>
        </w:rPr>
        <w:t xml:space="preserve">Data Quality:</w:t>
      </w:r>
      <w:r>
        <w:t xml:space="preserve"> </w:t>
      </w:r>
      <w:r>
        <w:t xml:space="preserve">Primary data for BOM (usntdeig) is considered high-detail. Secondary data for emission factors (e.g., grid electricity, transport, generic material factors) are sourced from industry-standard databases (e.g., Ecoinvent equivalents, DEFRA, IEA, MEE), which generally provide good representativeness but may not reflect specific supplier data beyond the BOM.</w:t>
      </w:r>
    </w:p>
    <w:p>
      <w:pPr>
        <w:numPr>
          <w:ilvl w:val="0"/>
          <w:numId w:val="1019"/>
        </w:numPr>
        <w:pStyle w:val="Compact"/>
      </w:pPr>
      <w:r>
        <w:rPr>
          <w:bCs/>
          <w:b/>
        </w:rPr>
        <w:t xml:space="preserve">Assumptions:</w:t>
      </w:r>
      <w:r>
        <w:t xml:space="preserve"> </w:t>
      </w:r>
      <w:r>
        <w:t xml:space="preserve">Several parameters, such as transport distances, use-phase energy consumption patterns, product lifespan, and specific emission factors for certain generic components, rely on reasonable industry averages and assumptions due to the placeholder nature of the input values. Any variations in these real-world parameters could alter the footprint.</w:t>
      </w:r>
    </w:p>
    <w:p>
      <w:pPr>
        <w:numPr>
          <w:ilvl w:val="0"/>
          <w:numId w:val="1019"/>
        </w:numPr>
        <w:pStyle w:val="Compact"/>
      </w:pPr>
      <w:r>
        <w:rPr>
          <w:bCs/>
          <w:b/>
        </w:rPr>
        <w:t xml:space="preserve">System Boundary:</w:t>
      </w:r>
      <w:r>
        <w:t xml:space="preserve"> </w:t>
      </w:r>
      <w:r>
        <w:t xml:space="preserve">While the overall assessment is cradle-to-grave, the initial \'factory_gate\' definition for direct operational boundaries means that some specific Scope 1 emissions might be simplified if not explicitly provided in the energy input data.</w:t>
      </w:r>
    </w:p>
    <w:p>
      <w:r>
        <w:pict>
          <v:rect style="width:0;height:1.5pt" o:hralign="center" o:hrstd="t" o:hr="t"/>
        </w:pict>
      </w:r>
    </w:p>
    <w:bookmarkEnd w:id="44"/>
    <w:bookmarkEnd w:id="45"/>
    <w:bookmarkStart w:id="46" w:name="recommendations-for-emission-reduction"/>
    <w:p>
      <w:pPr>
        <w:pStyle w:val="Heading2"/>
      </w:pPr>
      <w:r>
        <w:t xml:space="preserve">Recommendations for Emission Reduction</w:t>
      </w:r>
    </w:p>
    <w:p>
      <w:pPr>
        <w:pStyle w:val="FirstParagraph"/>
      </w:pPr>
      <w:r>
        <w:t xml:space="preserve">Based on the identified hotspots, lzfggegrkg should consider the following strategies to reduce the carbon footprint of stnknmzhdu:</w:t>
      </w:r>
    </w:p>
    <w:p>
      <w:pPr>
        <w:numPr>
          <w:ilvl w:val="0"/>
          <w:numId w:val="1020"/>
        </w:numPr>
        <w:pStyle w:val="Compact"/>
      </w:pPr>
      <w:r>
        <w:rPr>
          <w:bCs/>
          <w:b/>
        </w:rPr>
        <w:t xml:space="preserve">Optimize Use Phase:</w:t>
      </w:r>
      <w:r>
        <w:t xml:space="preserve"> </w:t>
      </w:r>
      <w:r>
        <w:t xml:space="preserve">Invest in product design for enhanced energy efficiency during operation. Explore smart features or software updates that minimize energy consumption. Provide clear guidance to consumers on energy-efficient usage.</w:t>
      </w:r>
    </w:p>
    <w:p>
      <w:pPr>
        <w:numPr>
          <w:ilvl w:val="0"/>
          <w:numId w:val="1020"/>
        </w:numPr>
        <w:pStyle w:val="Compact"/>
      </w:pPr>
      <w:r>
        <w:rPr>
          <w:bCs/>
          <w:b/>
        </w:rPr>
        <w:t xml:space="preserve">Streamline Downstream Logistics:</w:t>
      </w:r>
      <w:r>
        <w:t xml:space="preserve"> </w:t>
      </w:r>
      <w:r>
        <w:t xml:space="preserve">Investigate opportunities for localized distribution centers, utilize more efficient transport modes (e.g., electric vans for last-mile where feasible), and optimize delivery routes to reduce last-mile emissions.</w:t>
      </w:r>
    </w:p>
    <w:p>
      <w:pPr>
        <w:numPr>
          <w:ilvl w:val="0"/>
          <w:numId w:val="1020"/>
        </w:numPr>
        <w:pStyle w:val="Compact"/>
      </w:pPr>
      <w:r>
        <w:rPr>
          <w:bCs/>
          <w:b/>
        </w:rPr>
        <w:t xml:space="preserve">Sustainable Material Sourcing:</w:t>
      </w:r>
      <w:r>
        <w:t xml:space="preserve"> </w:t>
      </w:r>
      <w:r>
        <w:t xml:space="preserve">Prioritize suppliers offering materials with lower embedded carbon, increase the percentage of recycled content in components (e.g., recycled aluminum, recycled plastics), and explore alternative low-carbon materials.</w:t>
      </w:r>
    </w:p>
    <w:p>
      <w:pPr>
        <w:numPr>
          <w:ilvl w:val="0"/>
          <w:numId w:val="1020"/>
        </w:numPr>
        <w:pStyle w:val="Compact"/>
      </w:pPr>
      <w:r>
        <w:rPr>
          <w:bCs/>
          <w:b/>
        </w:rPr>
        <w:t xml:space="preserve">Enhance Production Efficiency:</w:t>
      </w:r>
      <w:r>
        <w:t xml:space="preserve"> </w:t>
      </w:r>
      <w:r>
        <w:t xml:space="preserve">Further increase the share of renewable energy in manufacturing operations beyond the current 70% (vunnzyzrwz) to minimize Scope 2 emissions. Implement energy-saving technologies and processes within the factory.</w:t>
      </w:r>
    </w:p>
    <w:p>
      <w:pPr>
        <w:numPr>
          <w:ilvl w:val="0"/>
          <w:numId w:val="1020"/>
        </w:numPr>
        <w:pStyle w:val="Compact"/>
      </w:pPr>
      <w:r>
        <w:rPr>
          <w:bCs/>
          <w:b/>
        </w:rPr>
        <w:t xml:space="preserve">Strengthen Circularity:</w:t>
      </w:r>
      <w:r>
        <w:t xml:space="preserve"> </w:t>
      </w:r>
      <w:r>
        <w:t xml:space="preserve">Continue to promote and expand circular economy programs (hdvsezfwmw) and ensure the high recyclability (ozyrwhzkkd) is maintained and communicated to consumers to maximize end-of-life benefits.</w:t>
      </w:r>
    </w:p>
    <w:p>
      <w:r>
        <w:pict>
          <v:rect style="width:0;height:1.5pt" o:hralign="center" o:hrstd="t" o:hr="t"/>
        </w:pict>
      </w:r>
    </w:p>
    <w:bookmarkEnd w:id="46"/>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stnknmzhdu</dc:title>
  <dc:creator/>
  <dc:description>High-detail Product Carbon Footprint (PCF) analysis for stnknmzhdu by Senior Sustainability Consultant rnqzyfximn for lzfggegrkg, adhering to GHG Protocol and 2026 LSR Update.</dc:description>
  <dc:language>en</dc:language>
  <cp:keywords/>
  <dcterms:created xsi:type="dcterms:W3CDTF">2026-05-30T20:12:27Z</dcterms:created>
  <dcterms:modified xsi:type="dcterms:W3CDTF">2026-05-30T20:12:27Z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