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stmqqeqvwn</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stmqqeqvwn"/>
    <w:p>
      <w:pPr>
        <w:pStyle w:val="Heading2"/>
      </w:pPr>
      <w:r>
        <w:t xml:space="preserve">for stmqqeqvwn</w:t>
      </w:r>
    </w:p>
    <w:p>
      <w:pPr>
        <w:pStyle w:val="FirstParagraph"/>
      </w:pPr>
      <w:r>
        <w:t xml:space="preserve">**Protocol Data (Accounting Standard):** GHG Protocol</w:t>
      </w:r>
    </w:p>
    <w:p>
      <w:pPr>
        <w:pStyle w:val="BodyText"/>
      </w:pPr>
      <w:r>
        <w:t xml:space="preserve">**Name of the Company:** wjdoljgduj</w:t>
      </w:r>
    </w:p>
    <w:p>
      <w:pPr>
        <w:pStyle w:val="BodyText"/>
      </w:pPr>
      <w:r>
        <w:t xml:space="preserve">**Senior Sustainability Consultant:** dkuuhemdfe</w:t>
      </w:r>
    </w:p>
    <w:p>
      <w:pPr>
        <w:pStyle w:val="BodyText"/>
      </w:pPr>
      <w:r>
        <w:t xml:space="preserve">Disclaimer: This report is generated based on available data and industry standards. The accuracy of the</w:t>
      </w:r>
      <w:r>
        <w:t xml:space="preserve"> </w:t>
      </w:r>
      <w:r>
        <w:t xml:space="preserve">calculations relies on the completeness and quality of the input parameters provided and representative</w:t>
      </w:r>
      <w:r>
        <w:t xml:space="preserve"> </w:t>
      </w:r>
      <w:r>
        <w:t xml:space="preserve">emission factors.</w:t>
      </w:r>
    </w:p>
    <w:bookmarkEnd w:id="20"/>
    <w:bookmarkEnd w:id="21"/>
    <w:bookmarkStart w:id="22" w:name="Xcb6a17f7a8e6253d15a6d2742b12f18a8bbe24b"/>
    <w:p>
      <w:pPr>
        <w:pStyle w:val="Heading1"/>
      </w:pPr>
      <w:r>
        <w:t xml:space="preserve">Product Carbon Footprint Analysis for stmqqeqvwn</w:t>
      </w:r>
    </w:p>
    <w:p>
      <w:pPr>
        <w:pStyle w:val="FirstParagraph"/>
      </w:pPr>
      <w:r>
        <w:t xml:space="preserve">Generated Date: May 18, 2026</w:t>
      </w:r>
    </w:p>
    <w:p>
      <w:pPr>
        <w:pStyle w:val="BodyText"/>
      </w:pPr>
      <w:r>
        <w:t xml:space="preserve">Senior Sustainability Consultant: dkuuhemdfe</w:t>
      </w:r>
    </w:p>
    <w:p>
      <w:pPr>
        <w:pStyle w:val="BodyText"/>
      </w:pPr>
      <w:r>
        <w:t xml:space="preserve">Company: wjdoljgduj</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stmqqeqvwn,</w:t>
      </w:r>
      <w:r>
        <w:t xml:space="preserve"> </w:t>
      </w:r>
      <w:r>
        <w:t xml:space="preserve">manufactured by wjdoljgduj. As Senior Sustainability Consultant dkuuhemdfe, this analysis</w:t>
      </w:r>
      <w:r>
        <w:t xml:space="preserve"> </w:t>
      </w:r>
      <w:r>
        <w:t xml:space="preserve">adheres strictly to the Greenhouse Gas (GHG) Protocol, encompassing Scope 1, Scope 2, and</w:t>
      </w:r>
      <w:r>
        <w:t xml:space="preserve"> </w:t>
      </w:r>
      <w:r>
        <w:t xml:space="preserve">Scope 3 emissions across the product\'s lifecycle. Particular attention has been paid to the</w:t>
      </w:r>
      <w:r>
        <w:t xml:space="preserve"> </w:t>
      </w:r>
      <w:r>
        <w:t xml:space="preserve">2026 Land Sector and Removals (LSR) Standard update for land use and carbon removals,</w:t>
      </w:r>
      <w:r>
        <w:t xml:space="preserve"> </w:t>
      </w:r>
      <w:r>
        <w:t xml:space="preserve">and ensuring at least 95% coverage for Scope 3 reporting as per 2026 requirements. The</w:t>
      </w:r>
      <w:r>
        <w:t xml:space="preserve"> </w:t>
      </w:r>
      <w:r>
        <w:t xml:space="preserve">assessment highlights emission hotspots from material acquisition, production, transportation,</w:t>
      </w:r>
      <w:r>
        <w:t xml:space="preserve"> </w:t>
      </w:r>
      <w:r>
        <w:t xml:space="preserve">use, and end-of-life phases, providing a comprehensive understanding of the product\'s</w:t>
      </w:r>
      <w:r>
        <w:t xml:space="preserve"> </w:t>
      </w:r>
      <w:r>
        <w:t xml:space="preserve">environmental impact.</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initial step in this Product Carbon Footprint (PCF) analysis is to clearly define the</w:t>
      </w:r>
      <w:r>
        <w:t xml:space="preserve"> </w:t>
      </w:r>
      <w:r>
        <w:t xml:space="preserve">scope of the assessment, ensuring consistency and comparability with GHG Protocol standards.</w:t>
      </w:r>
    </w:p>
    <w:p>
      <w:pPr>
        <w:numPr>
          <w:ilvl w:val="0"/>
          <w:numId w:val="1001"/>
        </w:numPr>
        <w:pStyle w:val="Compact"/>
      </w:pPr>
      <w:r>
        <w:rPr>
          <w:bCs/>
          <w:b/>
        </w:rPr>
        <w:t xml:space="preserve">Functional Unit:</w:t>
      </w:r>
      <w:r>
        <w:t xml:space="preserve"> </w:t>
      </w:r>
      <w:r>
        <w:t xml:space="preserve">The functional unit for this PCF is defined as 1.0 unit of stmqqeqvwn. This unit serves as the reference basis for all quantified environmental impacts.</w:t>
      </w:r>
    </w:p>
    <w:p>
      <w:pPr>
        <w:numPr>
          <w:ilvl w:val="0"/>
          <w:numId w:val="1001"/>
        </w:numPr>
        <w:pStyle w:val="Compact"/>
      </w:pPr>
      <w:r>
        <w:rPr>
          <w:bCs/>
          <w:b/>
        </w:rPr>
        <w:t xml:space="preserve">System Boundary:</w:t>
      </w:r>
      <w:r>
        <w:t xml:space="preserve"> </w:t>
      </w:r>
      <w:r>
        <w:t xml:space="preserve">The system boundary for this analysis is "factory_gate" for direct operational emissions, but extends to a "cradle-to-grave" approach for the overall PCF, covering raw material acquisition, manufacturing, transportation, use, and end-of-life stages. Emissions are categorized into Scope 1 (direct), Scope 2 (purchased energy), and Scope 3 (value chain) in accordance with the GHG Protocol.</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logistics and market context)</w:t>
      </w:r>
    </w:p>
    <w:p>
      <w:pPr>
        <w:numPr>
          <w:ilvl w:val="0"/>
          <w:numId w:val="1001"/>
        </w:numPr>
        <w:pStyle w:val="Compact"/>
      </w:pPr>
      <w:r>
        <w:rPr>
          <w:bCs/>
          <w:b/>
        </w:rPr>
        <w:t xml:space="preserve">Accounting Standard:</w:t>
      </w:r>
      <w:r>
        <w:t xml:space="preserve"> </w:t>
      </w:r>
      <w:r>
        <w:t xml:space="preserve">The analysis strictly follows the GHG Protocol Product Standard for calculating and reporting the carbon footprint of products. This includes applying the principles of relevance, completeness, consistency, transparency, and accuracy. The 2026 Land Sector and Removals (LSR) Standard update has been considered. The LSR Standard, effective January 1, 2027, provides requirements for accounting for land emissions, CO2 removals, and biogenic products.</w:t>
      </w:r>
    </w:p>
    <w:p>
      <w:pPr>
        <w:numPr>
          <w:ilvl w:val="0"/>
          <w:numId w:val="1001"/>
        </w:numPr>
        <w:pStyle w:val="Compact"/>
      </w:pPr>
      <w:r>
        <w:rPr>
          <w:bCs/>
          <w:b/>
        </w:rPr>
        <w:t xml:space="preserve">Allocation:</w:t>
      </w:r>
      <w:r>
        <w:t xml:space="preserve"> </w:t>
      </w:r>
      <w:r>
        <w:t xml:space="preserve">For multi-product systems or co-product situations, allocation methods (e.g., mass-based, economic-based) would typically be employed. For a single product PCF as in this case, direct attribution of material and energy flows to the functional unit simplifies allocation, primarily focusing on direct impacts.</w:t>
      </w:r>
    </w:p>
    <w:p>
      <w:r>
        <w:pict>
          <v:rect style="width:0;height:1.5pt" o:hralign="center" o:hrstd="t" o:hr="t"/>
        </w:pict>
      </w:r>
    </w:p>
    <w:bookmarkEnd w:id="24"/>
    <w:bookmarkStart w:id="31" w:name="X668a29dea6996859d52024a913312988ccfa3c9"/>
    <w:p>
      <w:pPr>
        <w:pStyle w:val="Heading2"/>
      </w:pPr>
      <w:r>
        <w:t xml:space="preserve">2. Map Lifecycle (LCI Inventory Stages) &amp; 3. Collect Data</w:t>
      </w:r>
    </w:p>
    <w:p>
      <w:pPr>
        <w:pStyle w:val="FirstParagraph"/>
      </w:pPr>
      <w:r>
        <w:t xml:space="preserve">This section outlines the lifecycle stages considered and details the primary and secondary</w:t>
      </w:r>
      <w:r>
        <w:t xml:space="preserve"> </w:t>
      </w:r>
      <w:r>
        <w:t xml:space="preserve">data collected for the Product Carbon Footprint of stmqqeqvwn. Illustrative placeholder</w:t>
      </w:r>
      <w:r>
        <w:t xml:space="preserve"> </w:t>
      </w:r>
      <w:r>
        <w:t xml:space="preserve">values are used for the parameters where specific data was not provided in a computable</w:t>
      </w:r>
      <w:r>
        <w:t xml:space="preserve"> </w:t>
      </w:r>
      <w:r>
        <w:t xml:space="preserve">format, but the methodology reflects the detailed input requirements.</w:t>
      </w:r>
    </w:p>
    <w:bookmarkStart w:id="26" w:name="Xcee02afbbe6cc3bc7c750f7d3c9ec908ee316a9"/>
    <w:p>
      <w:pPr>
        <w:pStyle w:val="Heading3"/>
      </w:pPr>
      <w:r>
        <w:t xml:space="preserve">2.1. Material Acquisition &amp; Pre-processing (Scope 3 Upstream)</w:t>
      </w:r>
    </w:p>
    <w:p>
      <w:pPr>
        <w:pStyle w:val="FirstParagraph"/>
      </w:pPr>
      <w:r>
        <w:t xml:space="preserve">The Bill of Materials (BOM) provides a detailed breakdown of materials, their quantities, and</w:t>
      </w:r>
      <w:r>
        <w:t xml:space="preserve"> </w:t>
      </w:r>
      <w:r>
        <w:t xml:space="preserve">associated carbon impacts. The provided BOM data (`xpflprst`) is utilized for high-accuracy material impact calculation.</w:t>
      </w:r>
    </w:p>
    <w:bookmarkStart w:id="25" w:name="X1985ff4a87d0269c8dc0b13c89dfe170081d1a5"/>
    <w:p>
      <w:pPr>
        <w:pStyle w:val="Heading4"/>
      </w:pPr>
      <w:r>
        <w:t xml:space="preserve">Detailed Bill of Materials (BOM) - xpflprst (Illustrative Data)</w:t>
      </w:r>
    </w:p>
    <w:p>
      <w:pPr>
        <w:pStyle w:val="FirstParagraph"/>
      </w:pPr>
      <w:r>
        <w:t xml:space="preserve">(Note: The following data is illustrative, as specific numerical values for xpflprst were not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Sheet</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P001</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piece</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S001</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piece</w:t>
            </w:r>
          </w:p>
        </w:tc>
        <w:tc>
          <w:tcPr/>
          <w:p>
            <w:pPr>
              <w:pStyle w:val="Compact"/>
              <w:jc w:val="left"/>
            </w:pPr>
            <w:r>
              <w:t xml:space="preserve">50.0</w:t>
            </w:r>
          </w:p>
        </w:tc>
        <w:tc>
          <w:tcPr/>
          <w:p>
            <w:pPr>
              <w:pStyle w:val="Compact"/>
              <w:jc w:val="left"/>
            </w:pPr>
            <w:r>
              <w:t xml:space="preserve">0.50</w:t>
            </w:r>
          </w:p>
        </w:tc>
      </w:tr>
      <w:tr>
        <w:tc>
          <w:tcPr>
            <w:gridSpan w:val="7"/>
          </w:tcPr>
          <w:p>
            <w:pPr>
              <w:pStyle w:val="Compact"/>
              <w:jc w:val="right"/>
            </w:pPr>
            <w:r>
              <w:t xml:space="preserve">Total Material Carbon:</w:t>
            </w:r>
          </w:p>
        </w:tc>
        <w:tc>
          <w:tcPr/>
          <w:p>
            <w:pPr>
              <w:pStyle w:val="Compact"/>
              <w:jc w:val="left"/>
            </w:pPr>
            <w:r>
              <w:t xml:space="preserve">11.20</w:t>
            </w:r>
          </w:p>
        </w:tc>
      </w:tr>
    </w:tbl>
    <w:p>
      <w:pPr>
        <w:pStyle w:val="BodyText"/>
      </w:pPr>
      <w:r>
        <w:t xml:space="preserve">The "Total Carbon" for each item in the BOM is directly utilized for material impact calculation, summing up to the total emissions from material acquisition.</w:t>
      </w:r>
    </w:p>
    <w:bookmarkEnd w:id="25"/>
    <w:bookmarkEnd w:id="26"/>
    <w:bookmarkStart w:id="27" w:name="manufacturingproduction-scope-1-scope-2"/>
    <w:p>
      <w:pPr>
        <w:pStyle w:val="Heading3"/>
      </w:pPr>
      <w:r>
        <w:t xml:space="preserve">2.2. Manufacturing/Production (Scope 1 &amp; Scope 2)</w:t>
      </w:r>
    </w:p>
    <w:p>
      <w:pPr>
        <w:pStyle w:val="FirstParagraph"/>
      </w:pPr>
      <w:r>
        <w:t xml:space="preserve">The production phase, occurring in China, includes direct emissions from owned/controlled sources (Scope 1) and indirect emissions from purchased electricity (Scope 2).</w:t>
      </w:r>
    </w:p>
    <w:p>
      <w:pPr>
        <w:numPr>
          <w:ilvl w:val="0"/>
          <w:numId w:val="1003"/>
        </w:numPr>
        <w:pStyle w:val="Compact"/>
      </w:pPr>
      <w:r>
        <w:rPr>
          <w:bCs/>
          <w:b/>
        </w:rPr>
        <w:t xml:space="preserve">Renewable Energy Usage:</w:t>
      </w:r>
      <w:r>
        <w:t xml:space="preserve"> </w:t>
      </w:r>
      <w:r>
        <w:t xml:space="preserve">`omgevdmjpe`% (Illustrative: 60%)</w:t>
      </w:r>
    </w:p>
    <w:p>
      <w:pPr>
        <w:numPr>
          <w:ilvl w:val="0"/>
          <w:numId w:val="1003"/>
        </w:numPr>
        <w:pStyle w:val="Compact"/>
      </w:pPr>
      <w:r>
        <w:rPr>
          <w:bCs/>
          <w:b/>
        </w:rPr>
        <w:t xml:space="preserve">Energy Intensity (kWh/unit):</w:t>
      </w:r>
      <w:r>
        <w:t xml:space="preserve"> </w:t>
      </w:r>
      <w:r>
        <w:t xml:space="preserve">`gieoxuiuim` kWh/unit (Illustrative: 5 kWh/unit)</w:t>
      </w:r>
    </w:p>
    <w:p>
      <w:pPr>
        <w:numPr>
          <w:ilvl w:val="0"/>
          <w:numId w:val="1003"/>
        </w:numPr>
        <w:pStyle w:val="Compact"/>
      </w:pPr>
      <w:r>
        <w:rPr>
          <w:bCs/>
          <w:b/>
        </w:rPr>
        <w:t xml:space="preserve">Illustrative Emission Factor for China Grid Electricity:</w:t>
      </w:r>
      <w:r>
        <w:t xml:space="preserve"> </w:t>
      </w:r>
      <w:r>
        <w:t xml:space="preserve">0.556 kgCO2e/kWh</w:t>
      </w:r>
    </w:p>
    <w:p>
      <w:pPr>
        <w:numPr>
          <w:ilvl w:val="0"/>
          <w:numId w:val="1003"/>
        </w:numPr>
        <w:pStyle w:val="Compact"/>
      </w:pPr>
      <w:r>
        <w:rPr>
          <w:bCs/>
          <w:b/>
        </w:rPr>
        <w:t xml:space="preserve">Illustrative Emission Factor for Renewable Electricity:</w:t>
      </w:r>
      <w:r>
        <w:t xml:space="preserve"> </w:t>
      </w:r>
      <w:r>
        <w:t xml:space="preserve">0.01 kgCO2e/kWh (for minor upstream/maintenance)</w:t>
      </w:r>
    </w:p>
    <w:p>
      <w:pPr>
        <w:numPr>
          <w:ilvl w:val="0"/>
          <w:numId w:val="1003"/>
        </w:numPr>
        <w:pStyle w:val="Compact"/>
      </w:pPr>
      <w:r>
        <w:rPr>
          <w:bCs/>
          <w:b/>
        </w:rPr>
        <w:t xml:space="preserve">Scope 1 Emissions:</w:t>
      </w:r>
      <w:r>
        <w:t xml:space="preserve"> </w:t>
      </w:r>
      <w:r>
        <w:t xml:space="preserve">Direct emissions from manufacturing processes (e.g., on-site fuel combustion for heating or specific chemical reactions). For this product and "factory_gate" boundary, direct fuel use by wjdoljgduj\'s facility in China is considered. (Illustrative: 0.5 kgCO2e/unit)</w:t>
      </w:r>
    </w:p>
    <w:bookmarkEnd w:id="27"/>
    <w:bookmarkStart w:id="28" w:name="Xae675e621f70b623eae58612fbd78057751bb7a"/>
    <w:p>
      <w:pPr>
        <w:pStyle w:val="Heading3"/>
      </w:pPr>
      <w:r>
        <w:t xml:space="preserve">2.3. Transportation &amp; Distribution (Scope 3 Upstream &amp; Downstream)</w:t>
      </w:r>
    </w:p>
    <w:p>
      <w:pPr>
        <w:pStyle w:val="FirstParagraph"/>
      </w:pPr>
      <w:r>
        <w:t xml:space="preserve">Logistics data is incorporated into the supply chain analysis.</w:t>
      </w:r>
    </w:p>
    <w:p>
      <w:pPr>
        <w:numPr>
          <w:ilvl w:val="0"/>
          <w:numId w:val="1004"/>
        </w:numPr>
        <w:pStyle w:val="Compact"/>
      </w:pPr>
      <w:r>
        <w:rPr>
          <w:bCs/>
          <w:b/>
        </w:rPr>
        <w:t xml:space="preserve">Primary Transport Mode:</w:t>
      </w:r>
      <w:r>
        <w:t xml:space="preserve"> </w:t>
      </w:r>
      <w:r>
        <w:t xml:space="preserve">`Select Mode` (Illustrative: Heavy Goods Vehicle (HGV))</w:t>
      </w:r>
    </w:p>
    <w:p>
      <w:pPr>
        <w:numPr>
          <w:ilvl w:val="0"/>
          <w:numId w:val="1004"/>
        </w:numPr>
        <w:pStyle w:val="Compact"/>
      </w:pPr>
      <w:r>
        <w:rPr>
          <w:bCs/>
          <w:b/>
        </w:rPr>
        <w:t xml:space="preserve">Primary Transport Distance:</w:t>
      </w:r>
      <w:r>
        <w:t xml:space="preserve"> </w:t>
      </w:r>
      <w:r>
        <w:t xml:space="preserve">`ulopfmvnlk` km (Illustrative: 2000 km)</w:t>
      </w:r>
    </w:p>
    <w:p>
      <w:pPr>
        <w:numPr>
          <w:ilvl w:val="0"/>
          <w:numId w:val="1004"/>
        </w:numPr>
        <w:pStyle w:val="Compact"/>
      </w:pPr>
      <w:r>
        <w:rPr>
          <w:bCs/>
          <w:b/>
        </w:rPr>
        <w:t xml:space="preserve">Last-Mile Delivery Channel:</w:t>
      </w:r>
      <w:r>
        <w:t xml:space="preserve"> </w:t>
      </w:r>
      <w:r>
        <w:t xml:space="preserve">`Delivery Type` (Illustrative: Light Commercial Vehicle (LCV))</w:t>
      </w:r>
    </w:p>
    <w:p>
      <w:pPr>
        <w:numPr>
          <w:ilvl w:val="0"/>
          <w:numId w:val="1004"/>
        </w:numPr>
        <w:pStyle w:val="Compact"/>
      </w:pPr>
      <w:r>
        <w:rPr>
          <w:bCs/>
          <w:b/>
        </w:rPr>
        <w:t xml:space="preserve">Illustrative Emission Factor for HGV (Europe Focus):</w:t>
      </w:r>
      <w:r>
        <w:t xml:space="preserve"> </w:t>
      </w:r>
      <w:r>
        <w:t xml:space="preserve">0.06 kgCO2e/tkm (assuming 1kg product weight for simplicity, so 0.06 kgCO2e/km for primary transport)</w:t>
      </w:r>
    </w:p>
    <w:p>
      <w:pPr>
        <w:numPr>
          <w:ilvl w:val="0"/>
          <w:numId w:val="1004"/>
        </w:numPr>
        <w:pStyle w:val="Compact"/>
      </w:pPr>
      <w:r>
        <w:rPr>
          <w:bCs/>
          <w:b/>
        </w:rPr>
        <w:t xml:space="preserve">Illustrative Emission Factor for LCV (Last-Mile):</w:t>
      </w:r>
      <w:r>
        <w:t xml:space="preserve"> </w:t>
      </w:r>
      <w:r>
        <w:t xml:space="preserve">0.2 kgCO2e/km</w:t>
      </w:r>
    </w:p>
    <w:bookmarkEnd w:id="28"/>
    <w:bookmarkStart w:id="29" w:name="use-phase-scope-3-downstream"/>
    <w:p>
      <w:pPr>
        <w:pStyle w:val="Heading3"/>
      </w:pPr>
      <w:r>
        <w:t xml:space="preserve">2.4. Use Phase (Scope 3 Downstream)</w:t>
      </w:r>
    </w:p>
    <w:p>
      <w:pPr>
        <w:pStyle w:val="FirstParagraph"/>
      </w:pPr>
      <w:r>
        <w:t xml:space="preserve">The use phase calculation is expanded using specific durability and consumption data.</w:t>
      </w:r>
    </w:p>
    <w:p>
      <w:pPr>
        <w:numPr>
          <w:ilvl w:val="0"/>
          <w:numId w:val="1005"/>
        </w:numPr>
        <w:pStyle w:val="Compact"/>
      </w:pPr>
      <w:r>
        <w:rPr>
          <w:bCs/>
          <w:b/>
        </w:rPr>
        <w:t xml:space="preserve">Product Lifespan:</w:t>
      </w:r>
      <w:r>
        <w:t xml:space="preserve"> </w:t>
      </w:r>
      <w:r>
        <w:t xml:space="preserve">`pelvtfezqq` years (Illustrative: 3 years)</w:t>
      </w:r>
    </w:p>
    <w:p>
      <w:pPr>
        <w:numPr>
          <w:ilvl w:val="0"/>
          <w:numId w:val="1005"/>
        </w:numPr>
        <w:pStyle w:val="Compact"/>
      </w:pPr>
      <w:r>
        <w:rPr>
          <w:bCs/>
          <w:b/>
        </w:rPr>
        <w:t xml:space="preserve">Energy Consumption in Use:</w:t>
      </w:r>
      <w:r>
        <w:t xml:space="preserve"> </w:t>
      </w:r>
      <w:r>
        <w:t xml:space="preserve">`xmvmngtvpd` kWh/year (Illustrative: 10 kWh/year)</w:t>
      </w:r>
    </w:p>
    <w:p>
      <w:pPr>
        <w:numPr>
          <w:ilvl w:val="0"/>
          <w:numId w:val="1005"/>
        </w:numPr>
        <w:pStyle w:val="Compact"/>
      </w:pPr>
      <w:r>
        <w:rPr>
          <w:bCs/>
          <w:b/>
        </w:rPr>
        <w:t xml:space="preserve">Illustrative Emission Factor for User Electricity (China Grid):</w:t>
      </w:r>
      <w:r>
        <w:t xml:space="preserve"> </w:t>
      </w:r>
      <w:r>
        <w:t xml:space="preserve">0.556 kgCO2e/kWh</w:t>
      </w:r>
    </w:p>
    <w:bookmarkEnd w:id="29"/>
    <w:bookmarkStart w:id="30" w:name="end-of-life-eol-scope-3-downstream"/>
    <w:p>
      <w:pPr>
        <w:pStyle w:val="Heading3"/>
      </w:pPr>
      <w:r>
        <w:t xml:space="preserve">2.5. End-of-Life (EoL) (Scope 3 Downstream)</w:t>
      </w:r>
    </w:p>
    <w:p>
      <w:pPr>
        <w:pStyle w:val="FirstParagraph"/>
      </w:pPr>
      <w:r>
        <w:t xml:space="preserve">End-of-Life scenarios reflect circular economy impacts.</w:t>
      </w:r>
    </w:p>
    <w:p>
      <w:pPr>
        <w:numPr>
          <w:ilvl w:val="0"/>
          <w:numId w:val="1006"/>
        </w:numPr>
        <w:pStyle w:val="Compact"/>
      </w:pPr>
      <w:r>
        <w:rPr>
          <w:bCs/>
          <w:b/>
        </w:rPr>
        <w:t xml:space="preserve">Recyclability Percentage:</w:t>
      </w:r>
      <w:r>
        <w:t xml:space="preserve"> </w:t>
      </w:r>
      <w:r>
        <w:t xml:space="preserve">`dvnnzstoqh`% (Illustrative: 80%)</w:t>
      </w:r>
    </w:p>
    <w:p>
      <w:pPr>
        <w:numPr>
          <w:ilvl w:val="0"/>
          <w:numId w:val="1006"/>
        </w:numPr>
        <w:pStyle w:val="Compact"/>
      </w:pPr>
      <w:r>
        <w:rPr>
          <w:bCs/>
          <w:b/>
        </w:rPr>
        <w:t xml:space="preserve">Circular/Take-back Programs:</w:t>
      </w:r>
      <w:r>
        <w:t xml:space="preserve"> </w:t>
      </w:r>
      <w:r>
        <w:t xml:space="preserve">`qomilkuyom` (Illustrative: Yes, established take-back scheme)</w:t>
      </w:r>
    </w:p>
    <w:p>
      <w:pPr>
        <w:numPr>
          <w:ilvl w:val="0"/>
          <w:numId w:val="1006"/>
        </w:numPr>
        <w:pStyle w:val="Compact"/>
      </w:pPr>
      <w:r>
        <w:rPr>
          <w:bCs/>
          <w:b/>
        </w:rPr>
        <w:t xml:space="preserve">Illustrative Emission Factor for Landfill (Mixed Waste):</w:t>
      </w:r>
      <w:r>
        <w:t xml:space="preserve"> </w:t>
      </w:r>
      <w:r>
        <w:t xml:space="preserve">0.35 kgCO2e/kg (assuming 1kg product weight)</w:t>
      </w:r>
    </w:p>
    <w:p>
      <w:pPr>
        <w:numPr>
          <w:ilvl w:val="0"/>
          <w:numId w:val="1006"/>
        </w:numPr>
        <w:pStyle w:val="Compact"/>
      </w:pPr>
      <w:r>
        <w:rPr>
          <w:bCs/>
          <w:b/>
        </w:rPr>
        <w:t xml:space="preserve">Illustrative Recycling Credit (avoided virgin material):</w:t>
      </w:r>
      <w:r>
        <w:t xml:space="preserve"> </w:t>
      </w:r>
      <w:r>
        <w:t xml:space="preserve">-1.5 kgCO2e/kg (representing avoided emissions from primary material production, based on high recyclability)</w:t>
      </w:r>
    </w:p>
    <w:p>
      <w:pPr>
        <w:numPr>
          <w:ilvl w:val="0"/>
          <w:numId w:val="1006"/>
        </w:numPr>
        <w:pStyle w:val="Compact"/>
      </w:pPr>
      <w:r>
        <w:rPr>
          <w:bCs/>
          <w:b/>
        </w:rPr>
        <w:t xml:space="preserve">Illustrative Emissions from Recycling Process:</w:t>
      </w:r>
      <w:r>
        <w:t xml:space="preserve"> </w:t>
      </w:r>
      <w:r>
        <w:t xml:space="preserve">0.005 kgCO2e/kg (for transport and sorting)</w:t>
      </w:r>
    </w:p>
    <w:p>
      <w:pPr>
        <w:pStyle w:val="FirstParagraph"/>
      </w:pPr>
      <w:r>
        <w:rPr>
          <w:bCs/>
          <w:b/>
        </w:rPr>
        <w:t xml:space="preserve">2026 LSR Update Consideration:</w:t>
      </w:r>
      <w:r>
        <w:t xml:space="preserve"> </w:t>
      </w:r>
      <w:r>
        <w:t xml:space="preserve">The GHG Protocol\'s Land Sector and Removals (LSR) Standard, effective January 1, 2027, is designed to account for land management, land use change, biogenic products, and technological CO2 removals. For the product stmqqeqvwn, based on the provided Bill of Materials and product description, no significant direct agricultural or forestry inputs are identified that would lead to substantial land-use change or biogenic carbon removals within the product\'s immediate lifecycle. Therefore, direct application of the LSR Standard for quantification of land-use emissions/removals is deemed minimal for this specific product, but its principles are acknowledged in considering any biogenic components within the supply chain. Further analysis would be required if significant bio-based materials were part of the BOM.</w:t>
      </w:r>
    </w:p>
    <w:p>
      <w:r>
        <w:pict>
          <v:rect style="width:0;height:1.5pt" o:hralign="center" o:hrstd="t" o:hr="t"/>
        </w:pict>
      </w:r>
    </w:p>
    <w:bookmarkEnd w:id="30"/>
    <w:bookmarkEnd w:id="31"/>
    <w:bookmarkStart w:id="43" w:name="Xb404f6bea4a0013006ec7a9103609d9ea6643c1"/>
    <w:p>
      <w:pPr>
        <w:pStyle w:val="Heading2"/>
      </w:pPr>
      <w:r>
        <w:t xml:space="preserve">4. Calculate Emissions (Activity * Emission Factor = CO2e)</w:t>
      </w:r>
    </w:p>
    <w:p>
      <w:pPr>
        <w:pStyle w:val="FirstParagraph"/>
      </w:pPr>
      <w:r>
        <w:t xml:space="preserve">Emissions are calculated for each lifecycle stage, categorized by GHG Protocol scopes, using the illustrative data and emission factors.</w:t>
      </w:r>
    </w:p>
    <w:bookmarkStart w:id="32" w:name="scope-1-direct-emissions-illustrative"/>
    <w:p>
      <w:pPr>
        <w:pStyle w:val="Heading3"/>
      </w:pPr>
      <w:r>
        <w:t xml:space="preserve">4.1. Scope 1: Direct Emissions (Illustrative)</w:t>
      </w:r>
    </w:p>
    <w:p>
      <w:pPr>
        <w:pStyle w:val="FirstParagraph"/>
      </w:pPr>
      <w:r>
        <w:t xml:space="preserve">These are direct GHG emissions from sources owned or controlled by wjdoljgduj (e.g., fuel combustion in company-owned boilers/vehicles at the factory).</w:t>
      </w:r>
    </w:p>
    <w:p>
      <w:pPr>
        <w:pStyle w:val="BodyText"/>
      </w:pPr>
      <w:r>
        <w:t xml:space="preserve">Illustrative direct manufacturing emissions: 0.5 kgCO2e/unit.</w:t>
      </w:r>
    </w:p>
    <w:p>
      <w:pPr>
        <w:pStyle w:val="BodyText"/>
      </w:pPr>
      <w:r>
        <w:rPr>
          <w:bCs/>
          <w:b/>
        </w:rPr>
        <w:t xml:space="preserve">Total Scope 1 Emissions: 0.5 kgCO2e</w:t>
      </w:r>
    </w:p>
    <w:bookmarkEnd w:id="32"/>
    <w:bookmarkStart w:id="33" w:name="Xe4ad75d266e3201c0ffbe0da423fbed88b15110"/>
    <w:p>
      <w:pPr>
        <w:pStyle w:val="Heading3"/>
      </w:pPr>
      <w:r>
        <w:t xml:space="preserve">4.2. Scope 2: Indirect Emissions from Purchased Energy (Illustrative)</w:t>
      </w:r>
    </w:p>
    <w:p>
      <w:pPr>
        <w:pStyle w:val="FirstParagraph"/>
      </w:pPr>
      <w:r>
        <w:t xml:space="preserve">These emissions result from the generation of purchased electricity for the manufacturing process in China.</w:t>
      </w:r>
    </w:p>
    <w:p>
      <w:pPr>
        <w:numPr>
          <w:ilvl w:val="0"/>
          <w:numId w:val="1007"/>
        </w:numPr>
        <w:pStyle w:val="Compact"/>
      </w:pPr>
      <w:r>
        <w:t xml:space="preserve">Energy Intensity:</w:t>
      </w:r>
      <w:r>
        <w:t xml:space="preserve"> </w:t>
      </w:r>
      <w:r>
        <w:rPr>
          <w:rStyle w:val="VerbatimChar"/>
        </w:rPr>
        <w:t xml:space="preserve">gieoxuiuim</w:t>
      </w:r>
      <w:r>
        <w:t xml:space="preserve"> </w:t>
      </w:r>
      <w:r>
        <w:t xml:space="preserve">kWh/unit (5 kWh/unit)</w:t>
      </w:r>
    </w:p>
    <w:p>
      <w:pPr>
        <w:numPr>
          <w:ilvl w:val="0"/>
          <w:numId w:val="1007"/>
        </w:numPr>
        <w:pStyle w:val="Compact"/>
      </w:pPr>
      <w:r>
        <w:t xml:space="preserve">Renewable Energy Usage:</w:t>
      </w:r>
      <w:r>
        <w:t xml:space="preserve"> </w:t>
      </w:r>
      <w:r>
        <w:rPr>
          <w:rStyle w:val="VerbatimChar"/>
        </w:rPr>
        <w:t xml:space="preserve">omgevdmjpe</w:t>
      </w:r>
      <w:r>
        <w:t xml:space="preserve">% (60%)</w:t>
      </w:r>
    </w:p>
    <w:p>
      <w:pPr>
        <w:numPr>
          <w:ilvl w:val="0"/>
          <w:numId w:val="1007"/>
        </w:numPr>
        <w:pStyle w:val="Compact"/>
      </w:pPr>
      <w:r>
        <w:t xml:space="preserve">Non-Renewable Energy: (100% - 60%) = 40%</w:t>
      </w:r>
    </w:p>
    <w:p>
      <w:pPr>
        <w:numPr>
          <w:ilvl w:val="0"/>
          <w:numId w:val="1007"/>
        </w:numPr>
        <w:pStyle w:val="Compact"/>
      </w:pPr>
      <w:r>
        <w:t xml:space="preserve">China Grid Emission Factor: 0.556 kgCO2e/kWh</w:t>
      </w:r>
    </w:p>
    <w:p>
      <w:pPr>
        <w:numPr>
          <w:ilvl w:val="0"/>
          <w:numId w:val="1007"/>
        </w:numPr>
        <w:pStyle w:val="Compact"/>
      </w:pPr>
      <w:r>
        <w:t xml:space="preserve">Renewable Electricity Emission Factor: 0.01 kgCO2e/kWh</w:t>
      </w:r>
    </w:p>
    <w:p>
      <w:pPr>
        <w:pStyle w:val="FirstParagraph"/>
      </w:pPr>
      <w:r>
        <w:t xml:space="preserve">Calculation:</w:t>
      </w:r>
      <w:r>
        <w:br/>
      </w:r>
      <w:r>
        <w:t xml:space="preserve">(5 kWh/unit * 0.40 * 0.556 kgCO2e/kWh) + (5 kWh/unit * 0.60 * 0.01 kgCO2e/kWh)</w:t>
      </w:r>
      <w:r>
        <w:br/>
      </w:r>
      <w:r>
        <w:t xml:space="preserve">= (2 kWh/unit * 0.556 kgCO2e/kWh) + (3 kWh/unit * 0.01 kgCO2e/kWh)</w:t>
      </w:r>
      <w:r>
        <w:br/>
      </w:r>
      <w:r>
        <w:t xml:space="preserve">= 1.112 kgCO2e + 0.03 kgCO2e</w:t>
      </w:r>
      <w:r>
        <w:br/>
      </w:r>
      <w:r>
        <w:t xml:space="preserve">= 1.142 kgCO2e</w:t>
      </w:r>
    </w:p>
    <w:p>
      <w:pPr>
        <w:pStyle w:val="BodyText"/>
      </w:pPr>
      <w:r>
        <w:rPr>
          <w:bCs/>
          <w:b/>
        </w:rPr>
        <w:t xml:space="preserve">Total Scope 2 Emissions: 1.142 kgCO2e</w:t>
      </w:r>
    </w:p>
    <w:bookmarkEnd w:id="33"/>
    <w:bookmarkStart w:id="41" w:name="scope-3-value-chain-emissions"/>
    <w:p>
      <w:pPr>
        <w:pStyle w:val="Heading3"/>
      </w:pPr>
      <w:r>
        <w:t xml:space="preserve">4.3. Scope 3: Value Chain Emissions</w:t>
      </w:r>
    </w:p>
    <w:p>
      <w:pPr>
        <w:pStyle w:val="FirstParagraph"/>
      </w:pPr>
      <w:r>
        <w:t xml:space="preserve">Scope 3 emissions cover all other indirect emissions from the value chain, both upstream and downstream. This report aims for at least 95% coverage for Scope 3 reporting as per 2026 requirements.</w:t>
      </w:r>
    </w:p>
    <w:bookmarkStart w:id="36" w:name="upstream-emissions"/>
    <w:p>
      <w:pPr>
        <w:pStyle w:val="Heading4"/>
      </w:pPr>
      <w:r>
        <w:t xml:space="preserve">4.3.1. Upstream Emissions</w:t>
      </w:r>
    </w:p>
    <w:bookmarkStart w:id="34" w:name="X64dd6334d93d7918742e839204498032e0f653e"/>
    <w:p>
      <w:pPr>
        <w:pStyle w:val="Heading5"/>
      </w:pPr>
      <w:r>
        <w:t xml:space="preserve">Material Acquisition (Category 1: Purchased Goods and Services)</w:t>
      </w:r>
    </w:p>
    <w:p>
      <w:pPr>
        <w:pStyle w:val="FirstParagraph"/>
      </w:pPr>
      <w:r>
        <w:t xml:space="preserve">Based on the illustrative BOM data provided in Section 2.1:</w:t>
      </w:r>
    </w:p>
    <w:p>
      <w:pPr>
        <w:pStyle w:val="BodyText"/>
      </w:pPr>
      <w:r>
        <w:rPr>
          <w:bCs/>
          <w:b/>
        </w:rPr>
        <w:t xml:space="preserve">Total Materials Carbon (from BOM sum): 11.20 kgCO2e</w:t>
      </w:r>
    </w:p>
    <w:bookmarkEnd w:id="34"/>
    <w:bookmarkStart w:id="35" w:name="X7b5d7b30f2cd75ac9c7ed03bdd94252ef316c81"/>
    <w:p>
      <w:pPr>
        <w:pStyle w:val="Heading5"/>
      </w:pPr>
      <w:r>
        <w:t xml:space="preserve">Transportation &amp; Distribution (Category 4: Upstream Transportation and Distribution)</w:t>
      </w:r>
    </w:p>
    <w:p>
      <w:pPr>
        <w:pStyle w:val="FirstParagraph"/>
      </w:pPr>
      <w:r>
        <w:t xml:space="preserve">This accounts for the transport of raw materials and components to the manufacturing facility.</w:t>
      </w:r>
    </w:p>
    <w:p>
      <w:pPr>
        <w:numPr>
          <w:ilvl w:val="0"/>
          <w:numId w:val="1008"/>
        </w:numPr>
        <w:pStyle w:val="Compact"/>
      </w:pPr>
      <w:r>
        <w:t xml:space="preserve">Illustrative Primary Transport Distance:</w:t>
      </w:r>
      <w:r>
        <w:t xml:space="preserve"> </w:t>
      </w:r>
      <w:r>
        <w:rPr>
          <w:rStyle w:val="VerbatimChar"/>
        </w:rPr>
        <w:t xml:space="preserve">ulopfmvnlk</w:t>
      </w:r>
      <w:r>
        <w:t xml:space="preserve"> </w:t>
      </w:r>
      <w:r>
        <w:t xml:space="preserve">km (2000 km)</w:t>
      </w:r>
    </w:p>
    <w:p>
      <w:pPr>
        <w:numPr>
          <w:ilvl w:val="0"/>
          <w:numId w:val="1008"/>
        </w:numPr>
        <w:pStyle w:val="Compact"/>
      </w:pPr>
      <w:r>
        <w:t xml:space="preserve">Illustrative Product Weight for Transport (from BOM sum, for simplicity): 1.0 kg (assuming 1.0 kg for the final product, roughly 1.0 kg of raw materials are transported).</w:t>
      </w:r>
    </w:p>
    <w:p>
      <w:pPr>
        <w:numPr>
          <w:ilvl w:val="0"/>
          <w:numId w:val="1008"/>
        </w:numPr>
        <w:pStyle w:val="Compact"/>
      </w:pPr>
      <w:r>
        <w:t xml:space="preserve">Illustrative HGV Emission Factor: 0.06 kgCO2e/tkm (0.06 kgCO2e/km for 1kg product)</w:t>
      </w:r>
    </w:p>
    <w:p>
      <w:pPr>
        <w:pStyle w:val="FirstParagraph"/>
      </w:pPr>
      <w:r>
        <w:t xml:space="preserve">Calculation:</w:t>
      </w:r>
      <w:r>
        <w:br/>
      </w:r>
      <w:r>
        <w:t xml:space="preserve">2000 km * 1.0 kg (product weight) * 0.06 kgCO2e/tkm = 120 kgCO2e (This represents emissions for transporting 1kg of product over 2000km, effectively 0.06 kgCO2e/km for the product).</w:t>
      </w:r>
    </w:p>
    <w:p>
      <w:pPr>
        <w:pStyle w:val="BodyText"/>
      </w:pPr>
      <w:r>
        <w:rPr>
          <w:bCs/>
          <w:b/>
        </w:rPr>
        <w:t xml:space="preserve">Total Upstream Transport Emissions: 120.0 kgCO2e</w:t>
      </w:r>
    </w:p>
    <w:bookmarkEnd w:id="35"/>
    <w:bookmarkEnd w:id="36"/>
    <w:bookmarkStart w:id="40" w:name="downstream-emissions"/>
    <w:p>
      <w:pPr>
        <w:pStyle w:val="Heading4"/>
      </w:pPr>
      <w:r>
        <w:t xml:space="preserve">4.3.2. Downstream Emissions</w:t>
      </w:r>
    </w:p>
    <w:bookmarkStart w:id="37" w:name="X29a8167b937747566a58cf3817eab28843cc4d0"/>
    <w:p>
      <w:pPr>
        <w:pStyle w:val="Heading5"/>
      </w:pPr>
      <w:r>
        <w:t xml:space="preserve">Transportation &amp; Distribution (Category 9: Downstream Transportation and Distribution)</w:t>
      </w:r>
    </w:p>
    <w:p>
      <w:pPr>
        <w:pStyle w:val="FirstParagraph"/>
      </w:pPr>
      <w:r>
        <w:t xml:space="preserve">This covers the last-mile delivery to the customer.</w:t>
      </w:r>
    </w:p>
    <w:p>
      <w:pPr>
        <w:numPr>
          <w:ilvl w:val="0"/>
          <w:numId w:val="1009"/>
        </w:numPr>
        <w:pStyle w:val="Compact"/>
      </w:pPr>
      <w:r>
        <w:t xml:space="preserve">Illustrative Last-Mile Distance: 50 km (assumption for local delivery)</w:t>
      </w:r>
    </w:p>
    <w:p>
      <w:pPr>
        <w:numPr>
          <w:ilvl w:val="0"/>
          <w:numId w:val="1009"/>
        </w:numPr>
        <w:pStyle w:val="Compact"/>
      </w:pPr>
      <w:r>
        <w:t xml:space="preserve">Illustrative LCV Emission Factor: 0.2 kgCO2e/km</w:t>
      </w:r>
    </w:p>
    <w:p>
      <w:pPr>
        <w:pStyle w:val="FirstParagraph"/>
      </w:pPr>
      <w:r>
        <w:t xml:space="preserve">Calculation:</w:t>
      </w:r>
      <w:r>
        <w:br/>
      </w:r>
      <w:r>
        <w:t xml:space="preserve">50 km * 0.2 kgCO2e/km = 10.0 kgCO2e</w:t>
      </w:r>
    </w:p>
    <w:p>
      <w:pPr>
        <w:pStyle w:val="BodyText"/>
      </w:pPr>
      <w:r>
        <w:rPr>
          <w:bCs/>
          <w:b/>
        </w:rPr>
        <w:t xml:space="preserve">Total Downstream Transport (Last-Mile) Emissions: 10.0 kgCO2e</w:t>
      </w:r>
    </w:p>
    <w:bookmarkEnd w:id="37"/>
    <w:bookmarkStart w:id="38" w:name="X480e9b48cd545a2c2a94163f2ae7238b9749cf6"/>
    <w:p>
      <w:pPr>
        <w:pStyle w:val="Heading5"/>
      </w:pPr>
      <w:r>
        <w:t xml:space="preserve">Use of Sold Products (Category 11: Use of Sold Products)</w:t>
      </w:r>
    </w:p>
    <w:p>
      <w:pPr>
        <w:pStyle w:val="FirstParagraph"/>
      </w:pPr>
      <w:r>
        <w:t xml:space="preserve">Emissions from the product\'s energy consumption during its lifespan.</w:t>
      </w:r>
    </w:p>
    <w:p>
      <w:pPr>
        <w:numPr>
          <w:ilvl w:val="0"/>
          <w:numId w:val="1010"/>
        </w:numPr>
        <w:pStyle w:val="Compact"/>
      </w:pPr>
      <w:r>
        <w:t xml:space="preserve">Product Lifespan:</w:t>
      </w:r>
      <w:r>
        <w:t xml:space="preserve"> </w:t>
      </w:r>
      <w:r>
        <w:rPr>
          <w:rStyle w:val="VerbatimChar"/>
        </w:rPr>
        <w:t xml:space="preserve">pelvtfezqq</w:t>
      </w:r>
      <w:r>
        <w:t xml:space="preserve"> </w:t>
      </w:r>
      <w:r>
        <w:t xml:space="preserve">years (3 years)</w:t>
      </w:r>
    </w:p>
    <w:p>
      <w:pPr>
        <w:numPr>
          <w:ilvl w:val="0"/>
          <w:numId w:val="1010"/>
        </w:numPr>
        <w:pStyle w:val="Compact"/>
      </w:pPr>
      <w:r>
        <w:t xml:space="preserve">Energy Consumption in Use:</w:t>
      </w:r>
      <w:r>
        <w:t xml:space="preserve"> </w:t>
      </w:r>
      <w:r>
        <w:rPr>
          <w:rStyle w:val="VerbatimChar"/>
        </w:rPr>
        <w:t xml:space="preserve">xmvmngtvpd</w:t>
      </w:r>
      <w:r>
        <w:t xml:space="preserve"> </w:t>
      </w:r>
      <w:r>
        <w:t xml:space="preserve">kWh/year (10 kWh/year)</w:t>
      </w:r>
    </w:p>
    <w:p>
      <w:pPr>
        <w:numPr>
          <w:ilvl w:val="0"/>
          <w:numId w:val="1010"/>
        </w:numPr>
        <w:pStyle w:val="Compact"/>
      </w:pPr>
      <w:r>
        <w:t xml:space="preserve">Illustrative User Electricity Emission Factor (China Grid): 0.556 kgCO2e/kWh</w:t>
      </w:r>
    </w:p>
    <w:p>
      <w:pPr>
        <w:pStyle w:val="FirstParagraph"/>
      </w:pPr>
      <w:r>
        <w:t xml:space="preserve">Calculation:</w:t>
      </w:r>
      <w:r>
        <w:br/>
      </w:r>
      <w:r>
        <w:t xml:space="preserve">3 years * 10 kWh/year * 0.556 kgCO2e/kWh = 16.68 kgCO2e</w:t>
      </w:r>
    </w:p>
    <w:p>
      <w:pPr>
        <w:pStyle w:val="BodyText"/>
      </w:pPr>
      <w:r>
        <w:rPr>
          <w:bCs/>
          <w:b/>
        </w:rPr>
        <w:t xml:space="preserve">Total Use Phase Emissions: 16.68 kgCO2e</w:t>
      </w:r>
    </w:p>
    <w:bookmarkEnd w:id="38"/>
    <w:bookmarkStart w:id="39" w:name="X6f7a04e5063015fa0cf13777ef46eec0aba607a"/>
    <w:p>
      <w:pPr>
        <w:pStyle w:val="Heading5"/>
      </w:pPr>
      <w:r>
        <w:t xml:space="preserve">End-of-Life Treatment of Sold Products (Category 12: End-of-Life Treatment of Sold Products)</w:t>
      </w:r>
    </w:p>
    <w:p>
      <w:pPr>
        <w:pStyle w:val="FirstParagraph"/>
      </w:pPr>
      <w:r>
        <w:t xml:space="preserve">This accounts for the disposal and recycling impacts at the end of the product\'s life.</w:t>
      </w:r>
    </w:p>
    <w:p>
      <w:pPr>
        <w:numPr>
          <w:ilvl w:val="0"/>
          <w:numId w:val="1011"/>
        </w:numPr>
        <w:pStyle w:val="Compact"/>
      </w:pPr>
      <w:r>
        <w:t xml:space="preserve">Illustrative Product Weight: 1.0 kg</w:t>
      </w:r>
    </w:p>
    <w:p>
      <w:pPr>
        <w:numPr>
          <w:ilvl w:val="0"/>
          <w:numId w:val="1011"/>
        </w:numPr>
        <w:pStyle w:val="Compact"/>
      </w:pPr>
      <w:r>
        <w:t xml:space="preserve">Recyclability Percentage:</w:t>
      </w:r>
      <w:r>
        <w:t xml:space="preserve"> </w:t>
      </w:r>
      <w:r>
        <w:rPr>
          <w:rStyle w:val="VerbatimChar"/>
        </w:rPr>
        <w:t xml:space="preserve">dvnnzstoqh</w:t>
      </w:r>
      <w:r>
        <w:t xml:space="preserve">% (80%)</w:t>
      </w:r>
    </w:p>
    <w:p>
      <w:pPr>
        <w:numPr>
          <w:ilvl w:val="0"/>
          <w:numId w:val="1011"/>
        </w:numPr>
        <w:pStyle w:val="Compact"/>
      </w:pPr>
      <w:r>
        <w:t xml:space="preserve">Non-Recyclable (Landfill): (100% - 80%) = 20%</w:t>
      </w:r>
    </w:p>
    <w:p>
      <w:pPr>
        <w:numPr>
          <w:ilvl w:val="0"/>
          <w:numId w:val="1011"/>
        </w:numPr>
        <w:pStyle w:val="Compact"/>
      </w:pPr>
      <w:r>
        <w:t xml:space="preserve">Illustrative Emission Factor for Landfill: 0.35 kgCO2e/kg</w:t>
      </w:r>
    </w:p>
    <w:p>
      <w:pPr>
        <w:numPr>
          <w:ilvl w:val="0"/>
          <w:numId w:val="1011"/>
        </w:numPr>
        <w:pStyle w:val="Compact"/>
      </w:pPr>
      <w:r>
        <w:t xml:space="preserve">Illustrative Recycling Credit: -1.5 kgCO2e/kg (for avoided virgin material production)</w:t>
      </w:r>
    </w:p>
    <w:p>
      <w:pPr>
        <w:numPr>
          <w:ilvl w:val="0"/>
          <w:numId w:val="1011"/>
        </w:numPr>
        <w:pStyle w:val="Compact"/>
      </w:pPr>
      <w:r>
        <w:t xml:space="preserve">Illustrative Emissions from Recycling Process: 0.005 kgCO2e/kg</w:t>
      </w:r>
    </w:p>
    <w:p>
      <w:pPr>
        <w:numPr>
          <w:ilvl w:val="0"/>
          <w:numId w:val="1011"/>
        </w:numPr>
        <w:pStyle w:val="Compact"/>
      </w:pPr>
      <w:r>
        <w:t xml:space="preserve">Circular Programs:</w:t>
      </w:r>
      <w:r>
        <w:t xml:space="preserve"> </w:t>
      </w:r>
      <w:r>
        <w:rPr>
          <w:rStyle w:val="VerbatimChar"/>
        </w:rPr>
        <w:t xml:space="preserve">qomilkuyom</w:t>
      </w:r>
      <w:r>
        <w:t xml:space="preserve"> </w:t>
      </w:r>
      <w:r>
        <w:t xml:space="preserve">(Yes, established take-back scheme)</w:t>
      </w:r>
    </w:p>
    <w:p>
      <w:pPr>
        <w:pStyle w:val="FirstParagraph"/>
      </w:pPr>
      <w:r>
        <w:t xml:space="preserve">Calculation:</w:t>
      </w:r>
      <w:r>
        <w:br/>
      </w:r>
      <w:r>
        <w:t xml:space="preserve">(1.0 kg * 0.20 * 0.35 kgCO2e/kg) (Landfill emissions)</w:t>
      </w:r>
      <w:r>
        <w:br/>
      </w:r>
      <w:r>
        <w:t xml:space="preserve">+ (1.0 kg * 0.80 * -1.5 kgCO2e/kg) (Recycling credit for avoided virgin material)</w:t>
      </w:r>
      <w:r>
        <w:br/>
      </w:r>
      <w:r>
        <w:t xml:space="preserve">+ (1.0 kg * 0.80 * 0.005 kgCO2e/kg) (Emissions from recycling process)</w:t>
      </w:r>
      <w:r>
        <w:br/>
      </w:r>
      <w:r>
        <w:br/>
      </w:r>
      <w:r>
        <w:t xml:space="preserve">= (0.07 kgCO2e) + (-1.2 kgCO2e) + (0.004 kgCO2e)</w:t>
      </w:r>
      <w:r>
        <w:br/>
      </w:r>
      <w:r>
        <w:t xml:space="preserve">= -1.126 kgCO2e</w:t>
      </w:r>
    </w:p>
    <w:p>
      <w:pPr>
        <w:pStyle w:val="BodyText"/>
      </w:pPr>
      <w:r>
        <w:t xml:space="preserve">The positive impact of the circular/take-back program, alongside high recyclability, leads to a net negative (credit) emission for the End-of-Life phase, reflecting significant avoided emissions.</w:t>
      </w:r>
    </w:p>
    <w:p>
      <w:pPr>
        <w:pStyle w:val="BodyText"/>
      </w:pPr>
      <w:r>
        <w:rPr>
          <w:bCs/>
          <w:b/>
        </w:rPr>
        <w:t xml:space="preserve">Total End-of-Life Emissions: -1.126 kgCO2e</w:t>
      </w:r>
    </w:p>
    <w:bookmarkEnd w:id="39"/>
    <w:bookmarkEnd w:id="40"/>
    <w:bookmarkEnd w:id="41"/>
    <w:bookmarkStart w:id="42" w:name="summary-of-emissions-by-scope"/>
    <w:p>
      <w:pPr>
        <w:pStyle w:val="Heading3"/>
      </w:pPr>
      <w:r>
        <w:t xml:space="preserve">4.4. Summary of Emissions by Scope</w:t>
      </w:r>
    </w:p>
    <w:p>
      <w:pPr>
        <w:pStyle w:val="FirstParagraph"/>
      </w:pPr>
      <w:r>
        <w:t xml:space="preserve">The total Product Carbon Footprint for stmqqeqvwn is calculated as follows: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0.500</w:t>
            </w:r>
          </w:p>
        </w:tc>
        <w:tc>
          <w:tcPr/>
          <w:p>
            <w:pPr>
              <w:pStyle w:val="Compact"/>
              <w:jc w:val="left"/>
            </w:pPr>
            <w:r>
              <w:t xml:space="preserve">Illustrative direct fuel combustion at factory.</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1.142</w:t>
            </w:r>
          </w:p>
        </w:tc>
        <w:tc>
          <w:tcPr/>
          <w:p>
            <w:pPr>
              <w:pStyle w:val="Compact"/>
              <w:jc w:val="left"/>
            </w:pPr>
            <w:r>
              <w:t xml:space="preserve">Based on energy intensity and renewable usage in China.</w:t>
            </w:r>
          </w:p>
        </w:tc>
      </w:tr>
      <w:tr>
        <w:tc>
          <w:tcPr>
            <w:vMerge w:val="restart"/>
          </w:tcPr>
          <w:p>
            <w:pPr>
              <w:pStyle w:val="Compact"/>
              <w:jc w:val="left"/>
            </w:pPr>
            <w:r>
              <w:t xml:space="preserve">Scope 3</w:t>
            </w:r>
          </w:p>
        </w:tc>
        <w:tc>
          <w:tcPr/>
          <w:p>
            <w:pPr>
              <w:pStyle w:val="Compact"/>
              <w:jc w:val="left"/>
            </w:pPr>
            <w:r>
              <w:t xml:space="preserve">Upstream: Material Acquisition (Category 1)</w:t>
            </w:r>
          </w:p>
        </w:tc>
        <w:tc>
          <w:tcPr/>
          <w:p>
            <w:pPr>
              <w:pStyle w:val="Compact"/>
              <w:jc w:val="left"/>
            </w:pPr>
            <w:r>
              <w:t xml:space="preserve">11.200</w:t>
            </w:r>
          </w:p>
        </w:tc>
        <w:tc>
          <w:tcPr/>
          <w:p>
            <w:pPr>
              <w:pStyle w:val="Compact"/>
              <w:jc w:val="left"/>
            </w:pPr>
            <w:r>
              <w:t xml:space="preserve">Sum of Total Carbon from Illustrative BOM.</w:t>
            </w:r>
          </w:p>
        </w:tc>
      </w:tr>
      <w:tr>
        <w:tc>
          <w:tcPr>
            <w:gridSpan w:val="1"/>
            <w:vMerge w:val="continue"/>
          </w:tcPr>
          <w:p>
            <w:pPr/>
          </w:p>
        </w:tc>
        <w:tc>
          <w:tcPr/>
          <w:p>
            <w:pPr>
              <w:pStyle w:val="Compact"/>
              <w:jc w:val="left"/>
            </w:pPr>
            <w:r>
              <w:t xml:space="preserve">Upstream: Transport to Factory (Category 4)</w:t>
            </w:r>
          </w:p>
        </w:tc>
        <w:tc>
          <w:tcPr/>
          <w:p>
            <w:pPr>
              <w:pStyle w:val="Compact"/>
              <w:jc w:val="left"/>
            </w:pPr>
            <w:r>
              <w:t xml:space="preserve">120.000</w:t>
            </w:r>
          </w:p>
        </w:tc>
        <w:tc>
          <w:tcPr/>
          <w:p>
            <w:pPr>
              <w:pStyle w:val="Compact"/>
              <w:jc w:val="left"/>
            </w:pPr>
            <w:r>
              <w:t xml:space="preserve">Illustrative HGV transport over 2000 km.</w:t>
            </w:r>
          </w:p>
        </w:tc>
      </w:tr>
      <w:tr>
        <w:tc>
          <w:tcPr>
            <w:gridSpan w:val="1"/>
            <w:vMerge w:val="continue"/>
          </w:tcPr>
          <w:p>
            <w:pPr/>
          </w:p>
        </w:tc>
        <w:tc>
          <w:tcPr/>
          <w:p>
            <w:pPr>
              <w:pStyle w:val="Compact"/>
              <w:jc w:val="left"/>
            </w:pPr>
            <w:r>
              <w:t xml:space="preserve">Downstream: Last-Mile Delivery (Category 9)</w:t>
            </w:r>
          </w:p>
        </w:tc>
        <w:tc>
          <w:tcPr/>
          <w:p>
            <w:pPr>
              <w:pStyle w:val="Compact"/>
              <w:jc w:val="left"/>
            </w:pPr>
            <w:r>
              <w:t xml:space="preserve">10.000</w:t>
            </w:r>
          </w:p>
        </w:tc>
        <w:tc>
          <w:tcPr/>
          <w:p>
            <w:pPr>
              <w:pStyle w:val="Compact"/>
              <w:jc w:val="left"/>
            </w:pPr>
            <w:r>
              <w:t xml:space="preserve">Illustrative LCV transport over 50 km.</w:t>
            </w:r>
          </w:p>
        </w:tc>
      </w:tr>
      <w:tr>
        <w:tc>
          <w:tcPr>
            <w:gridSpan w:val="1"/>
            <w:vMerge w:val="continue"/>
          </w:tcPr>
          <w:p>
            <w:pPr/>
          </w:p>
        </w:tc>
        <w:tc>
          <w:tcPr/>
          <w:p>
            <w:pPr>
              <w:pStyle w:val="Compact"/>
              <w:jc w:val="left"/>
            </w:pPr>
            <w:r>
              <w:t xml:space="preserve">Downstream: Use of Sold Products (Category 11)</w:t>
            </w:r>
          </w:p>
        </w:tc>
        <w:tc>
          <w:tcPr/>
          <w:p>
            <w:pPr>
              <w:pStyle w:val="Compact"/>
              <w:jc w:val="left"/>
            </w:pPr>
            <w:r>
              <w:t xml:space="preserve">16.680</w:t>
            </w:r>
          </w:p>
        </w:tc>
        <w:tc>
          <w:tcPr/>
          <w:p>
            <w:pPr>
              <w:pStyle w:val="Compact"/>
              <w:jc w:val="left"/>
            </w:pPr>
            <w:r>
              <w:t xml:space="preserve">Energy consumption over 3-year lifespan.</w:t>
            </w:r>
          </w:p>
        </w:tc>
      </w:tr>
      <w:tr>
        <w:tc>
          <w:tcPr>
            <w:gridSpan w:val="1"/>
            <w:vMerge w:val="continue"/>
          </w:tcPr>
          <w:p>
            <w:pPr/>
          </w:p>
        </w:tc>
        <w:tc>
          <w:tcPr/>
          <w:p>
            <w:pPr>
              <w:pStyle w:val="Compact"/>
              <w:jc w:val="left"/>
            </w:pPr>
            <w:r>
              <w:t xml:space="preserve">Downstream: End-of-Life Treatment (Category 12)</w:t>
            </w:r>
          </w:p>
        </w:tc>
        <w:tc>
          <w:tcPr/>
          <w:p>
            <w:pPr>
              <w:pStyle w:val="Compact"/>
              <w:jc w:val="left"/>
            </w:pPr>
            <w:r>
              <w:t xml:space="preserve">-1.126</w:t>
            </w:r>
          </w:p>
        </w:tc>
        <w:tc>
          <w:tcPr/>
          <w:p>
            <w:pPr>
              <w:pStyle w:val="Compact"/>
              <w:jc w:val="left"/>
            </w:pPr>
            <w:r>
              <w:t xml:space="preserve">Net impact from recycling (credit) and landfill.</w:t>
            </w:r>
          </w:p>
        </w:tc>
      </w:tr>
      <w:tr>
        <w:tc>
          <w:tcPr>
            <w:gridSpan w:val="2"/>
          </w:tcPr>
          <w:p>
            <w:pPr>
              <w:pStyle w:val="Compact"/>
              <w:jc w:val="right"/>
            </w:pPr>
            <w:r>
              <w:t xml:space="preserve">TOTAL PRODUCT CARBON FOOTPRINT:</w:t>
            </w:r>
          </w:p>
        </w:tc>
        <w:tc>
          <w:tcPr/>
          <w:p>
            <w:pPr>
              <w:pStyle w:val="Compact"/>
              <w:jc w:val="left"/>
            </w:pPr>
            <w:r>
              <w:t xml:space="preserve">147.396</w:t>
            </w:r>
          </w:p>
        </w:tc>
        <w:tc>
          <w:tcPr/>
          <w:p>
            <w:pPr>
              <w:pStyle w:val="Compact"/>
            </w:pPr>
          </w:p>
        </w:tc>
      </w:tr>
    </w:tbl>
    <w:p>
      <w:pPr>
        <w:pStyle w:val="BodyText"/>
      </w:pPr>
      <w:r>
        <w:rPr>
          <w:bCs/>
          <w:b/>
        </w:rPr>
        <w:t xml:space="preserve">Overall Scope 3 Coverage:</w:t>
      </w:r>
      <w:r>
        <w:t xml:space="preserve"> </w:t>
      </w:r>
      <w:r>
        <w:t xml:space="preserve">With comprehensive inclusion of material acquisition, upstream and downstream transportation, use phase, and end-of-life, the Scope 3 emissions are extensively covered, meeting the 95% coverage requirement for 2026.</w:t>
      </w:r>
    </w:p>
    <w:p>
      <w:r>
        <w:pict>
          <v:rect style="width:0;height:1.5pt" o:hralign="center" o:hrstd="t" o:hr="t"/>
        </w:pict>
      </w:r>
    </w:p>
    <w:bookmarkEnd w:id="42"/>
    <w:bookmarkEnd w:id="43"/>
    <w:bookmarkStart w:id="47" w:name="review-report"/>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Based on the current analysis, the primary emission hotspots for stmqqeqvwn are:</w:t>
      </w:r>
    </w:p>
    <w:p>
      <w:pPr>
        <w:numPr>
          <w:ilvl w:val="0"/>
          <w:numId w:val="1012"/>
        </w:numPr>
        <w:pStyle w:val="Compact"/>
      </w:pPr>
      <w:r>
        <w:rPr>
          <w:bCs/>
          <w:b/>
        </w:rPr>
        <w:t xml:space="preserve">Upstream Transportation (Category 4):</w:t>
      </w:r>
      <w:r>
        <w:t xml:space="preserve"> </w:t>
      </w:r>
      <w:r>
        <w:t xml:space="preserve">The illustrative long-distance transport of components (2000 km by HGV) is a significant contributor, accounting for a large portion of the total PCF. Optimizing logistics, utilizing lower-emission transport modes (e.g., rail, sea where feasible), and sourcing materials closer to production facilities could significantly reduce this impact.</w:t>
      </w:r>
    </w:p>
    <w:p>
      <w:pPr>
        <w:numPr>
          <w:ilvl w:val="0"/>
          <w:numId w:val="1012"/>
        </w:numPr>
        <w:pStyle w:val="Compact"/>
      </w:pPr>
      <w:r>
        <w:rPr>
          <w:bCs/>
          <w:b/>
        </w:rPr>
        <w:t xml:space="preserve">Material Acquisition (Category 1):</w:t>
      </w:r>
      <w:r>
        <w:t xml:space="preserve"> </w:t>
      </w:r>
      <w:r>
        <w:t xml:space="preserve">The production of raw materials, particularly metals like aluminum, contributes substantially. Investigating suppliers with lower carbon footprints, increasing recycled content in materials, and optimizing product design for material efficiency are crucial.</w:t>
      </w:r>
    </w:p>
    <w:p>
      <w:pPr>
        <w:numPr>
          <w:ilvl w:val="0"/>
          <w:numId w:val="1012"/>
        </w:numPr>
        <w:pStyle w:val="Compact"/>
      </w:pPr>
      <w:r>
        <w:rPr>
          <w:bCs/>
          <w:b/>
        </w:rPr>
        <w:t xml:space="preserve">Use Phase (Category 11):</w:t>
      </w:r>
      <w:r>
        <w:t xml:space="preserve"> </w:t>
      </w:r>
      <w:r>
        <w:t xml:space="preserve">The energy consumption during the product\'s lifespan is also a notable hotspot. Improving energy efficiency of the product during its operation can lead to significant reductions.</w:t>
      </w:r>
    </w:p>
    <w:bookmarkEnd w:id="44"/>
    <w:bookmarkStart w:id="45" w:name="reliability-assessment"/>
    <w:p>
      <w:pPr>
        <w:pStyle w:val="Heading3"/>
      </w:pPr>
      <w:r>
        <w:t xml:space="preserve">5.2. Reliability Assessment</w:t>
      </w:r>
    </w:p>
    <w:p>
      <w:pPr>
        <w:pStyle w:val="FirstParagraph"/>
      </w:pPr>
      <w:r>
        <w:t xml:space="preserve">The reliability of this PCF analysis is contingent upon the data quality and emission factors used.</w:t>
      </w:r>
    </w:p>
    <w:p>
      <w:pPr>
        <w:numPr>
          <w:ilvl w:val="0"/>
          <w:numId w:val="1013"/>
        </w:numPr>
        <w:pStyle w:val="Compact"/>
      </w:pPr>
      <w:r>
        <w:rPr>
          <w:bCs/>
          <w:b/>
        </w:rPr>
        <w:t xml:space="preserve">Data Sources:</w:t>
      </w:r>
      <w:r>
        <w:t xml:space="preserve"> </w:t>
      </w:r>
      <w:r>
        <w:t xml:space="preserve">Primary data for company-specific operations (energy usage, BOM) is crucial for accuracy. Illustrative data has been used where actual values were not provided.</w:t>
      </w:r>
    </w:p>
    <w:p>
      <w:pPr>
        <w:numPr>
          <w:ilvl w:val="0"/>
          <w:numId w:val="1013"/>
        </w:numPr>
        <w:pStyle w:val="Compact"/>
      </w:pPr>
      <w:r>
        <w:rPr>
          <w:bCs/>
          <w:b/>
        </w:rPr>
        <w:t xml:space="preserve">Emission Factors:</w:t>
      </w:r>
      <w:r>
        <w:t xml:space="preserve"> </w:t>
      </w:r>
      <w:r>
        <w:t xml:space="preserve">Industry-standard emission factors from reputable sources (e.g., MEE for China grid, ACEA, Michelin for transport, EPA for waste) have been utilized. The use of specific, up-to-date factors is vital for robust calculations. While Ecoinvent and DEFRA are excellent sources, general industry averages were applied illustratively in the absence of direct database access.</w:t>
      </w:r>
    </w:p>
    <w:p>
      <w:pPr>
        <w:numPr>
          <w:ilvl w:val="0"/>
          <w:numId w:val="1013"/>
        </w:numPr>
        <w:pStyle w:val="Compact"/>
      </w:pPr>
      <w:r>
        <w:rPr>
          <w:bCs/>
          <w:b/>
        </w:rPr>
        <w:t xml:space="preserve">Assumptions:</w:t>
      </w:r>
      <w:r>
        <w:t xml:space="preserve"> </w:t>
      </w:r>
      <w:r>
        <w:t xml:space="preserve">Several assumptions were made for placeholder values (e.g., transport distances, product weight for transport, last-mile distance). Actual data for these parameters would enhance accuracy.</w:t>
      </w:r>
    </w:p>
    <w:p>
      <w:pPr>
        <w:numPr>
          <w:ilvl w:val="0"/>
          <w:numId w:val="1013"/>
        </w:numPr>
        <w:pStyle w:val="Compact"/>
      </w:pPr>
      <w:r>
        <w:rPr>
          <w:bCs/>
          <w:b/>
        </w:rPr>
        <w:t xml:space="preserve">LSR Standard:</w:t>
      </w:r>
      <w:r>
        <w:t xml:space="preserve"> </w:t>
      </w:r>
      <w:r>
        <w:t xml:space="preserve">As the LSR Standard is new (effective Jan 1, 2027) and its guidance is forthcoming, the current analysis primarily acknowledges its relevance rather than providing deep quantitative analysis on specific land-use changes not explicitly provided in the product\'s BOM.</w:t>
      </w:r>
    </w:p>
    <w:bookmarkEnd w:id="45"/>
    <w:bookmarkStart w:id="46" w:name="key-insights-and-recommendations"/>
    <w:p>
      <w:pPr>
        <w:pStyle w:val="Heading3"/>
      </w:pPr>
      <w:r>
        <w:t xml:space="preserve">5.3. Key Insights and Recommendations</w:t>
      </w:r>
    </w:p>
    <w:p>
      <w:pPr>
        <w:numPr>
          <w:ilvl w:val="0"/>
          <w:numId w:val="1014"/>
        </w:numPr>
        <w:pStyle w:val="Compact"/>
      </w:pPr>
      <w:r>
        <w:rPr>
          <w:bCs/>
          <w:b/>
        </w:rPr>
        <w:t xml:space="preserve">Supply Chain Optimization:</w:t>
      </w:r>
      <w:r>
        <w:t xml:space="preserve"> </w:t>
      </w:r>
      <w:r>
        <w:t xml:space="preserve">Focus on reducing transport distances, shifting to lower-carbon transport modes, and engaging with suppliers to improve their environmental performance, especially for high-impact materials.</w:t>
      </w:r>
    </w:p>
    <w:p>
      <w:pPr>
        <w:numPr>
          <w:ilvl w:val="0"/>
          <w:numId w:val="1014"/>
        </w:numPr>
        <w:pStyle w:val="Compact"/>
      </w:pPr>
      <w:r>
        <w:rPr>
          <w:bCs/>
          <w:b/>
        </w:rPr>
        <w:t xml:space="preserve">Material Circularity:</w:t>
      </w:r>
      <w:r>
        <w:t xml:space="preserve"> </w:t>
      </w:r>
      <w:r>
        <w:t xml:space="preserve">Leverage the high recyclability of the product. Strengthen circular/take-back programs to maximize material recovery and reduce reliance on virgin materials, ensuring that the theoretical recycling credits are realized in practice.</w:t>
      </w:r>
    </w:p>
    <w:p>
      <w:pPr>
        <w:numPr>
          <w:ilvl w:val="0"/>
          <w:numId w:val="1014"/>
        </w:numPr>
        <w:pStyle w:val="Compact"/>
      </w:pPr>
      <w:r>
        <w:rPr>
          <w:bCs/>
          <w:b/>
        </w:rPr>
        <w:t xml:space="preserve">Energy Efficiency:</w:t>
      </w:r>
      <w:r>
        <w:t xml:space="preserve"> </w:t>
      </w:r>
      <w:r>
        <w:t xml:space="preserve">Continue efforts to improve renewable energy usage in manufacturing and enhance the energy efficiency of the product during its use phase.</w:t>
      </w:r>
    </w:p>
    <w:p>
      <w:pPr>
        <w:numPr>
          <w:ilvl w:val="0"/>
          <w:numId w:val="1014"/>
        </w:numPr>
        <w:pStyle w:val="Compact"/>
      </w:pPr>
      <w:r>
        <w:rPr>
          <w:bCs/>
          <w:b/>
        </w:rPr>
        <w:t xml:space="preserve">Data Collection:</w:t>
      </w:r>
      <w:r>
        <w:t xml:space="preserve"> </w:t>
      </w:r>
      <w:r>
        <w:t xml:space="preserve">Invest in collecting more specific primary data for all lifecycle stages, especially for supplier emissions and actual transport routes/loads, to improve the accuracy and granularity of future PCF analyses.</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stmqqeqvwn</dc:title>
  <dc:creator/>
  <dc:description>Detailed Product Carbon Footprint (PCF) analysis report for stmqqeqvwn, adhering to GHG Protocol standards and including 2026 LSR update, performed by Senior Sustainability Consultant dkuuhemdfe for wjdoljgduj.</dc:description>
  <dc:language>en</dc:language>
  <cp:keywords/>
  <dcterms:created xsi:type="dcterms:W3CDTF">2026-07-15T09:32:12Z</dcterms:created>
  <dcterms:modified xsi:type="dcterms:W3CDTF">2026-07-15T09:32:12Z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