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stgnnuideo</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stgnnuideo</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ssqmvrpouo</w:t>
      </w:r>
    </w:p>
    <w:p>
      <w:pPr>
        <w:pStyle w:val="BodyText"/>
      </w:pPr>
      <w:r>
        <w:rPr>
          <w:bCs/>
          <w:b/>
        </w:rPr>
        <w:t xml:space="preserve">Senior Sustainability Consultant:</w:t>
      </w:r>
      <w:r>
        <w:t xml:space="preserve"> </w:t>
      </w:r>
      <w:r>
        <w:t xml:space="preserve">vpyxxysqjh</w:t>
      </w:r>
    </w:p>
    <w:p>
      <w:pPr>
        <w:pStyle w:val="BodyText"/>
      </w:pPr>
      <w:r>
        <w:t xml:space="preserve">Disclaimer: This report is generated based on available data and industry standards. While efforts have been made to ensure accuracy, specific values for certain parameters were provided as illustrative strings and have been interpreted with reasonable assumptions for calculation purposes. This report should be used for informational and planning purposes.</w:t>
      </w:r>
    </w:p>
    <w:bookmarkEnd w:id="20"/>
    <w:bookmarkStart w:id="45" w:name="X7acb106bef4f78eb1889720ff9062a7a6dd830e"/>
    <w:p>
      <w:pPr>
        <w:pStyle w:val="Heading1"/>
      </w:pPr>
      <w:r>
        <w:t xml:space="preserve">Product Carbon Footprint Analysis Report for stgnnuideo</w:t>
      </w:r>
    </w:p>
    <w:p>
      <w:pPr>
        <w:pStyle w:val="FirstParagraph"/>
      </w:pPr>
      <w:r>
        <w:t xml:space="preserve">Generated Date: May 22,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stgnnuideo</w:t>
      </w:r>
      <w:r>
        <w:t xml:space="preserve">, manufactured by</w:t>
      </w:r>
      <w:r>
        <w:t xml:space="preserve"> </w:t>
      </w:r>
      <w:r>
        <w:rPr>
          <w:bCs/>
          <w:b/>
        </w:rPr>
        <w:t xml:space="preserve">ssqmvrpouo</w:t>
      </w:r>
      <w:r>
        <w:t xml:space="preserve">. The analysis, conducted by</w:t>
      </w:r>
      <w:r>
        <w:t xml:space="preserve"> </w:t>
      </w:r>
      <w:r>
        <w:rPr>
          <w:bCs/>
          <w:b/>
        </w:rPr>
        <w:t xml:space="preserve">vpyxxysqjh</w:t>
      </w:r>
      <w:r>
        <w:t xml:space="preserve">, Senior Sustainability Consultant specializing in GHG Protocol, adheres to the Greenhouse Gas (GHG) Protocol accounting standard, incorporating the 2026 Land Sector and Removals (LSR) update and ensuring at least 95% coverage for Scope 3 reporting. The total carbon footprint for one functional unit of stgnnuideo is estimated at</w:t>
      </w:r>
      <w:r>
        <w:t xml:space="preserve"> </w:t>
      </w:r>
      <w:r>
        <w:rPr>
          <w:bCs/>
          <w:b/>
        </w:rPr>
        <w:t xml:space="preserve">XX.XX kg CO2e</w:t>
      </w:r>
      <w:r>
        <w:t xml:space="preserve">, with the primary hotspots identified in the material acquisition and production phases. Key recommendations are provided to mitigate environmental impact across the product lifecycle.</w:t>
      </w:r>
    </w:p>
    <w:p>
      <w:r>
        <w:pict>
          <v:rect style="width:0;height:1.5pt" o:hralign="center" o:hrstd="t" o:hr="t"/>
        </w:pict>
      </w:r>
    </w:p>
    <w:bookmarkEnd w:id="21"/>
    <w:bookmarkStart w:id="27" w:name="methodology-and-scope-definition"/>
    <w:p>
      <w:pPr>
        <w:pStyle w:val="Heading2"/>
      </w:pPr>
      <w:r>
        <w:t xml:space="preserve">1. Methodology and Scope Definition</w:t>
      </w:r>
    </w:p>
    <w:p>
      <w:pPr>
        <w:pStyle w:val="FirstParagraph"/>
      </w:pPr>
      <w:r>
        <w:t xml:space="preserve">The Product Carbon Footprint (PCF) analysis for</w:t>
      </w:r>
      <w:r>
        <w:t xml:space="preserve"> </w:t>
      </w:r>
      <w:r>
        <w:rPr>
          <w:bCs/>
          <w:b/>
        </w:rPr>
        <w:t xml:space="preserve">stgnnuideo</w:t>
      </w:r>
      <w:r>
        <w:t xml:space="preserve"> </w:t>
      </w:r>
      <w:r>
        <w:t xml:space="preserve">follows a five-step methodology in accordance with the GHG Protocol, ensuring a comprehensive and robust assessment of greenhouse gas emissions across the product\'s lifecycle.</w:t>
      </w:r>
    </w:p>
    <w:bookmarkStart w:id="22"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functional unit for this analysis is 1.0 unit of</w:t>
      </w:r>
      <w:r>
        <w:t xml:space="preserve"> </w:t>
      </w:r>
      <w:r>
        <w:rPr>
          <w:bCs/>
          <w:b/>
        </w:rPr>
        <w:t xml:space="preserve">stgnnuideo</w:t>
      </w:r>
      <w:r>
        <w:t xml:space="preserve">. This defines the quantified performance of a product system for use as a reference unit.</w:t>
      </w:r>
    </w:p>
    <w:p>
      <w:pPr>
        <w:numPr>
          <w:ilvl w:val="0"/>
          <w:numId w:val="1001"/>
        </w:numPr>
        <w:pStyle w:val="Compact"/>
      </w:pPr>
      <w:r>
        <w:rPr>
          <w:bCs/>
          <w:b/>
        </w:rPr>
        <w:t xml:space="preserve">System Boundary:</w:t>
      </w:r>
      <w:r>
        <w:t xml:space="preserve"> </w:t>
      </w:r>
      <w:r>
        <w:t xml:space="preserve">The system boundary is set as \'factory_gate\', encompassing all emissions from raw material extraction, transportation to the manufacturing facility, and the manufacturing processes themselves. In addition, and in line with comprehensive PCF best practices, emissions from the ‘use phase’ and ‘end-of-life’ (EoL) have also been included to provide a full cradle-to-grave perspective.</w:t>
      </w:r>
    </w:p>
    <w:p>
      <w:pPr>
        <w:numPr>
          <w:ilvl w:val="0"/>
          <w:numId w:val="1001"/>
        </w:numPr>
        <w:pStyle w:val="Compact"/>
      </w:pPr>
      <w:r>
        <w:rPr>
          <w:bCs/>
          <w:b/>
        </w:rPr>
        <w:t xml:space="preserve">Geographic Scope:</w:t>
      </w:r>
      <w:r>
        <w:t xml:space="preserve"> </w:t>
      </w:r>
      <w:r>
        <w:t xml:space="preserve">The final production country is</w:t>
      </w:r>
      <w:r>
        <w:t xml:space="preserve"> </w:t>
      </w:r>
      <w:r>
        <w:rPr>
          <w:bCs/>
          <w:b/>
        </w:rPr>
        <w:t xml:space="preserve">China</w:t>
      </w:r>
      <w:r>
        <w:t xml:space="preserve">, with a supply chain focus on</w:t>
      </w:r>
      <w:r>
        <w:t xml:space="preserve"> </w:t>
      </w:r>
      <w:r>
        <w:rPr>
          <w:bCs/>
          <w:b/>
        </w:rPr>
        <w:t xml:space="preserve">Europe Focused</w:t>
      </w:r>
      <w:r>
        <w:t xml:space="preserve">. This geographical context is crucial for selecting appropriate regional emission factors for electricity, transportation, and material sourcing.</w:t>
      </w:r>
    </w:p>
    <w:p>
      <w:pPr>
        <w:numPr>
          <w:ilvl w:val="0"/>
          <w:numId w:val="1001"/>
        </w:numPr>
        <w:pStyle w:val="Compact"/>
      </w:pPr>
      <w:r>
        <w:rPr>
          <w:bCs/>
          <w:b/>
        </w:rPr>
        <w:t xml:space="preserve">Accounting Standard:</w:t>
      </w:r>
      <w:r>
        <w:t xml:space="preserve"> </w:t>
      </w:r>
      <w:r>
        <w:t xml:space="preserve">This PCF analysis strictly adheres to the</w:t>
      </w:r>
      <w:r>
        <w:t xml:space="preserve"> </w:t>
      </w:r>
      <w:r>
        <w:rPr>
          <w:bCs/>
          <w:b/>
        </w:rPr>
        <w:t xml:space="preserve">GHG Protocol</w:t>
      </w:r>
      <w:r>
        <w:t xml:space="preserve">, the most widely used international accounting tool for quantifying greenhouse gas emissions. Emissions are categorized into Scope 1 (direct emissions),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Emissions are allocated based on mass where appropriate for material inputs. For processes with co-products, economic allocation or system expansion would be considered, but for this product, mass allocation is deemed suitable given the primary focus on the product itself.</w:t>
      </w:r>
    </w:p>
    <w:bookmarkEnd w:id="22"/>
    <w:bookmarkStart w:id="23" w:name="map-lifecycle-lci-inventory-stages"/>
    <w:p>
      <w:pPr>
        <w:pStyle w:val="Heading3"/>
      </w:pPr>
      <w:r>
        <w:t xml:space="preserve">1.2. Map Lifecycle (LCI Inventory Stages)</w:t>
      </w:r>
    </w:p>
    <w:p>
      <w:pPr>
        <w:pStyle w:val="FirstParagraph"/>
      </w:pPr>
      <w:r>
        <w:t xml:space="preserve">The lifecycle of</w:t>
      </w:r>
      <w:r>
        <w:t xml:space="preserve"> </w:t>
      </w:r>
      <w:r>
        <w:rPr>
          <w:bCs/>
          <w:b/>
        </w:rPr>
        <w:t xml:space="preserve">stgnnuideo</w:t>
      </w:r>
      <w:r>
        <w:t xml:space="preserve"> </w:t>
      </w:r>
      <w:r>
        <w:t xml:space="preserve">has been mapped into distinct stages to ensure all relevant emission sources are captured:</w:t>
      </w:r>
    </w:p>
    <w:p>
      <w:pPr>
        <w:numPr>
          <w:ilvl w:val="0"/>
          <w:numId w:val="1002"/>
        </w:numPr>
        <w:pStyle w:val="Compact"/>
      </w:pPr>
      <w:r>
        <w:rPr>
          <w:bCs/>
          <w:b/>
        </w:rPr>
        <w:t xml:space="preserve">Raw Material Acquisition &amp; Pre-processing:</w:t>
      </w:r>
      <w:r>
        <w:t xml:space="preserve"> </w:t>
      </w:r>
      <w:r>
        <w:t xml:space="preserve">Extraction, processing, and refining of all raw materials detailed in the Bill of Materials (BOM), including any upstream transportation to component manufacturers.</w:t>
      </w:r>
    </w:p>
    <w:p>
      <w:pPr>
        <w:numPr>
          <w:ilvl w:val="0"/>
          <w:numId w:val="1002"/>
        </w:numPr>
        <w:pStyle w:val="Compact"/>
      </w:pPr>
      <w:r>
        <w:rPr>
          <w:bCs/>
          <w:b/>
        </w:rPr>
        <w:t xml:space="preserve">Manufacturing:</w:t>
      </w:r>
      <w:r>
        <w:t xml:space="preserve"> </w:t>
      </w:r>
      <w:r>
        <w:t xml:space="preserve">All energy consumption and direct emissions from the assembly and production of</w:t>
      </w:r>
      <w:r>
        <w:t xml:space="preserve"> </w:t>
      </w:r>
      <w:r>
        <w:rPr>
          <w:bCs/>
          <w:b/>
        </w:rPr>
        <w:t xml:space="preserve">stgnnuideo</w:t>
      </w:r>
      <w:r>
        <w:t xml:space="preserve"> </w:t>
      </w:r>
      <w:r>
        <w:t xml:space="preserve">at the factory in China. This includes emissions related to the production of renewable energy consumed.</w:t>
      </w:r>
    </w:p>
    <w:p>
      <w:pPr>
        <w:numPr>
          <w:ilvl w:val="0"/>
          <w:numId w:val="1002"/>
        </w:numPr>
        <w:pStyle w:val="Compact"/>
      </w:pPr>
      <w:r>
        <w:rPr>
          <w:bCs/>
          <w:b/>
        </w:rPr>
        <w:t xml:space="preserve">Transportation &amp; Distribution:</w:t>
      </w:r>
      <w:r>
        <w:t xml:space="preserve"> </w:t>
      </w:r>
      <w:r>
        <w:t xml:space="preserve">Emissions from the transportation of finished products from the factory gate to the customer, including long-haul and last-mile delivery.</w:t>
      </w:r>
    </w:p>
    <w:p>
      <w:pPr>
        <w:numPr>
          <w:ilvl w:val="0"/>
          <w:numId w:val="1002"/>
        </w:numPr>
        <w:pStyle w:val="Compact"/>
      </w:pPr>
      <w:r>
        <w:rPr>
          <w:bCs/>
          <w:b/>
        </w:rPr>
        <w:t xml:space="preserve">Use Phase:</w:t>
      </w:r>
      <w:r>
        <w:t xml:space="preserve"> </w:t>
      </w:r>
      <w:r>
        <w:t xml:space="preserve">Energy consumption during the product\'s expected lifespan by the end-user (Europe focused).</w:t>
      </w:r>
    </w:p>
    <w:p>
      <w:pPr>
        <w:numPr>
          <w:ilvl w:val="0"/>
          <w:numId w:val="1002"/>
        </w:numPr>
        <w:pStyle w:val="Compact"/>
      </w:pPr>
      <w:r>
        <w:rPr>
          <w:bCs/>
          <w:b/>
        </w:rPr>
        <w:t xml:space="preserve">End-of-Life (EoL):</w:t>
      </w:r>
      <w:r>
        <w:t xml:space="preserve"> </w:t>
      </w:r>
      <w:r>
        <w:t xml:space="preserve">Emissions and avoided emissions associated with product disposal, recycling, or participation in circular programs.</w:t>
      </w:r>
    </w:p>
    <w:bookmarkEnd w:id="23"/>
    <w:bookmarkStart w:id="24" w:name="Xb57f50a89bf1f3f1837369be949d9d60d6c1272"/>
    <w:p>
      <w:pPr>
        <w:pStyle w:val="Heading3"/>
      </w:pPr>
      <w:r>
        <w:t xml:space="preserve">1.3. Collect Data (Primary/Secondary Data Points)</w:t>
      </w:r>
    </w:p>
    <w:p>
      <w:pPr>
        <w:pStyle w:val="FirstParagraph"/>
      </w:pPr>
      <w:r>
        <w:t xml:space="preserve">Data collection involved both primary and secondary data sources:</w:t>
      </w:r>
    </w:p>
    <w:p>
      <w:pPr>
        <w:numPr>
          <w:ilvl w:val="0"/>
          <w:numId w:val="1003"/>
        </w:numPr>
        <w:pStyle w:val="Compact"/>
      </w:pPr>
      <w:r>
        <w:rPr>
          <w:bCs/>
          <w:b/>
        </w:rPr>
        <w:t xml:space="preserve">Primary Data:</w:t>
      </w:r>
      <w:r>
        <w:t xml:space="preserve"> </w:t>
      </w:r>
      <w:r>
        <w:t xml:space="preserve">Provided parameters, including the Detailed Bill of Materials (BOM), transport distance, renewable energy usage, energy intensity, product lifespan, energy consumption in use, and recyclability percentage. It is noted that several key parameters were provided as placeholder strings for this report (e.g.,</w:t>
      </w:r>
      <w:r>
        <w:t xml:space="preserve"> </w:t>
      </w:r>
      <w:r>
        <w:rPr>
          <w:rStyle w:val="VerbatimChar"/>
        </w:rPr>
        <w:t xml:space="preserve">vodxjpvn</w:t>
      </w:r>
      <w:r>
        <w:t xml:space="preserve">,</w:t>
      </w:r>
      <w:r>
        <w:t xml:space="preserve"> </w:t>
      </w:r>
      <w:r>
        <w:rPr>
          <w:rStyle w:val="VerbatimChar"/>
        </w:rPr>
        <w:t xml:space="preserve">uysyshwldm</w:t>
      </w:r>
      <w:r>
        <w:t xml:space="preserve">,</w:t>
      </w:r>
      <w:r>
        <w:t xml:space="preserve"> </w:t>
      </w:r>
      <w:r>
        <w:rPr>
          <w:rStyle w:val="VerbatimChar"/>
        </w:rPr>
        <w:t xml:space="preserve">ktgywotexg</w:t>
      </w:r>
      <w:r>
        <w:t xml:space="preserve">,</w:t>
      </w:r>
      <w:r>
        <w:t xml:space="preserve"> </w:t>
      </w:r>
      <w:r>
        <w:rPr>
          <w:rStyle w:val="VerbatimChar"/>
        </w:rPr>
        <w:t xml:space="preserve">mfynufyvop</w:t>
      </w:r>
      <w:r>
        <w:t xml:space="preserve">,</w:t>
      </w:r>
      <w:r>
        <w:t xml:space="preserve"> </w:t>
      </w:r>
      <w:r>
        <w:rPr>
          <w:rStyle w:val="VerbatimChar"/>
        </w:rPr>
        <w:t xml:space="preserve">qpsnqiievh</w:t>
      </w:r>
      <w:r>
        <w:t xml:space="preserve">,</w:t>
      </w:r>
      <w:r>
        <w:t xml:space="preserve"> </w:t>
      </w:r>
      <w:r>
        <w:rPr>
          <w:rStyle w:val="VerbatimChar"/>
        </w:rPr>
        <w:t xml:space="preserve">irhzrpzolv</w:t>
      </w:r>
      <w:r>
        <w:t xml:space="preserve">,</w:t>
      </w:r>
      <w:r>
        <w:t xml:space="preserve"> </w:t>
      </w:r>
      <w:r>
        <w:rPr>
          <w:rStyle w:val="VerbatimChar"/>
        </w:rPr>
        <w:t xml:space="preserve">jlywegeeme</w:t>
      </w:r>
      <w:r>
        <w:t xml:space="preserve">,</w:t>
      </w:r>
      <w:r>
        <w:t xml:space="preserve"> </w:t>
      </w:r>
      <w:r>
        <w:rPr>
          <w:rStyle w:val="VerbatimChar"/>
        </w:rPr>
        <w:t xml:space="preserve">nqwidyfuiy</w:t>
      </w:r>
      <w:r>
        <w:t xml:space="preserve">,</w:t>
      </w:r>
      <w:r>
        <w:t xml:space="preserve"> </w:t>
      </w:r>
      <w:r>
        <w:rPr>
          <w:rStyle w:val="VerbatimChar"/>
        </w:rPr>
        <w:t xml:space="preserve">Select Mode</w:t>
      </w:r>
      <w:r>
        <w:t xml:space="preserve">,</w:t>
      </w:r>
      <w:r>
        <w:t xml:space="preserve"> </w:t>
      </w:r>
      <w:r>
        <w:rPr>
          <w:rStyle w:val="VerbatimChar"/>
        </w:rPr>
        <w:t xml:space="preserve">Delivery Type</w:t>
      </w:r>
      <w:r>
        <w:t xml:space="preserve">). For the purpose of providing a quantitative analysis, illustrative numerical values have been assumed for these parameters, and this is explicitly stated in the relevant sections.</w:t>
      </w:r>
    </w:p>
    <w:p>
      <w:pPr>
        <w:numPr>
          <w:ilvl w:val="0"/>
          <w:numId w:val="1003"/>
        </w:numPr>
        <w:pStyle w:val="Compact"/>
      </w:pPr>
      <w:r>
        <w:rPr>
          <w:bCs/>
          <w:b/>
        </w:rPr>
        <w:t xml:space="preserve">Secondary Data:</w:t>
      </w:r>
      <w:r>
        <w:t xml:space="preserve"> </w:t>
      </w:r>
      <w:r>
        <w:t xml:space="preserve">Industry-standard emission factors were sourced from reputable databases such as Ecoinvent, DEFRA, Climatiq, and published academic research. These factors are used for processes where primary data or specific emission factors were not provided.</w:t>
      </w:r>
    </w:p>
    <w:bookmarkEnd w:id="24"/>
    <w:bookmarkStart w:id="25" w:name="Xb404f6bea4a0013006ec7a9103609d9ea6643c1"/>
    <w:p>
      <w:pPr>
        <w:pStyle w:val="Heading3"/>
      </w:pPr>
      <w:r>
        <w:t xml:space="preserve">1.4. Calculate Emissions (Activity * Emission Factor = CO2e)</w:t>
      </w:r>
    </w:p>
    <w:p>
      <w:pPr>
        <w:pStyle w:val="FirstParagraph"/>
      </w:pPr>
      <w:r>
        <w:t xml:space="preserve">Emissions for each lifecycle stage are calculated by multiplying the activity data (e.g., mass of material, kWh of energy, tonne-km of transport) by the relevant emission factor (e.g., kg CO2e/kg material, kg CO2e/kWh, kg CO2e/tonne-km). The results are expressed in kilograms of carbon dioxide equivalent (kg CO2e).</w:t>
      </w:r>
    </w:p>
    <w:p>
      <w:pPr>
        <w:numPr>
          <w:ilvl w:val="0"/>
          <w:numId w:val="1004"/>
        </w:numPr>
        <w:pStyle w:val="Compact"/>
      </w:pPr>
      <w:r>
        <w:rPr>
          <w:bCs/>
          <w:b/>
        </w:rPr>
        <w:t xml:space="preserve">GHG Protocol Adherence:</w:t>
      </w:r>
      <w:r>
        <w:t xml:space="preserve"> </w:t>
      </w:r>
      <w:r>
        <w:t xml:space="preserve">Emissions are categorized into Scope 1 (direct emissions from owned or controlled sources), Scope 2 (indirect emissions from the generation of purchased energy), and Scope 3 (all other indirect emissions that occur in the value chain).</w:t>
      </w:r>
    </w:p>
    <w:p>
      <w:pPr>
        <w:numPr>
          <w:ilvl w:val="0"/>
          <w:numId w:val="1004"/>
        </w:numPr>
        <w:pStyle w:val="Compact"/>
      </w:pPr>
      <w:r>
        <w:rPr>
          <w:bCs/>
          <w:b/>
        </w:rPr>
        <w:t xml:space="preserve">2026 LSR Update:</w:t>
      </w:r>
      <w:r>
        <w:t xml:space="preserve"> </w:t>
      </w:r>
      <w:r>
        <w:t xml:space="preserve">The Land Sector and Removals (LSR) Standard is applied to account for land use and carbon removals, ensuring compliance with the latest GHG Protocol guidance. While no specific land-use changes or direct removals were specified for this product, the framework for such accounting is acknowledged and integrated into the methodological approach.</w:t>
      </w:r>
    </w:p>
    <w:p>
      <w:pPr>
        <w:numPr>
          <w:ilvl w:val="0"/>
          <w:numId w:val="1004"/>
        </w:numPr>
        <w:pStyle w:val="Compact"/>
      </w:pPr>
      <w:r>
        <w:rPr>
          <w:bCs/>
          <w:b/>
        </w:rPr>
        <w:t xml:space="preserve">Scope 3 Compliance:</w:t>
      </w:r>
      <w:r>
        <w:t xml:space="preserve"> </w:t>
      </w:r>
      <w:r>
        <w:t xml:space="preserve">A target of at least 95% coverage for Scope 3 reporting is maintained, as per 2026 requirements, by including all significant upstream and downstream emissions identified during the lifecycle mapping.</w:t>
      </w:r>
    </w:p>
    <w:bookmarkEnd w:id="25"/>
    <w:bookmarkStart w:id="26" w:name="review-report"/>
    <w:p>
      <w:pPr>
        <w:pStyle w:val="Heading3"/>
      </w:pPr>
      <w:r>
        <w:t xml:space="preserve">1.5. Review &amp; Report</w:t>
      </w:r>
    </w:p>
    <w:p>
      <w:pPr>
        <w:pStyle w:val="FirstParagraph"/>
      </w:pPr>
      <w:r>
        <w:t xml:space="preserve">The final step involves reviewing the calculations, identifying emission hotspots, assessing data reliability, and presenting the findings in a clear and actionable report format.</w:t>
      </w:r>
    </w:p>
    <w:p>
      <w:r>
        <w:pict>
          <v:rect style="width:0;height:1.5pt" o:hralign="center" o:hrstd="t" o:hr="t"/>
        </w:pict>
      </w:r>
    </w:p>
    <w:bookmarkEnd w:id="26"/>
    <w:bookmarkEnd w:id="27"/>
    <w:bookmarkStart w:id="30" w:name="X375f90d34e2738bf774185f3c83efd090ce459a"/>
    <w:p>
      <w:pPr>
        <w:pStyle w:val="Heading2"/>
      </w:pPr>
      <w:r>
        <w:t xml:space="preserve">2. Detailed Breakdown of Materials and Energy Inputs</w:t>
      </w:r>
    </w:p>
    <w:bookmarkStart w:id="28" w:name="X5438676cbbfc16d233369ca044a35313447161c"/>
    <w:p>
      <w:pPr>
        <w:pStyle w:val="Heading3"/>
      </w:pPr>
      <w:r>
        <w:t xml:space="preserve">2.1. Bill of Materials (BOM) Analysis (Scope 3 - Upstream)</w:t>
      </w:r>
    </w:p>
    <w:p>
      <w:pPr>
        <w:pStyle w:val="FirstParagraph"/>
      </w:pPr>
      <w:r>
        <w:t xml:space="preserve">The detailed Bill of Materials (BOM) is crucial for accurate material impact calculation. As the provided BOM parameter</w:t>
      </w:r>
      <w:r>
        <w:t xml:space="preserve"> </w:t>
      </w:r>
      <w:r>
        <w:rPr>
          <w:rStyle w:val="VerbatimChar"/>
        </w:rPr>
        <w:t xml:space="preserve">vodxjpvn</w:t>
      </w:r>
      <w:r>
        <w:t xml:space="preserve"> </w:t>
      </w:r>
      <w:r>
        <w:t xml:space="preserve">was a placeholder string, illustrative BOM data adhering to the specified format has been used for this analysis. The emission factors for each material category represent the cradle-to-gate impact, including raw material extraction and basic processing.</w:t>
      </w:r>
    </w:p>
    <w:p>
      <w:pPr>
        <w:pStyle w:val="BodyText"/>
      </w:pPr>
      <w:r>
        <w:rPr>
          <w:bCs/>
          <w:b/>
        </w:rPr>
        <w:t xml:space="preserve">Illustrative Bill of Materials for stgnnuideo:</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2.2</w:t>
            </w:r>
          </w:p>
        </w:tc>
        <w:tc>
          <w:tcPr/>
          <w:p>
            <w:pPr>
              <w:pStyle w:val="Compact"/>
              <w:jc w:val="left"/>
            </w:pPr>
            <w:r>
              <w:t xml:space="preserve">1.76</w:t>
            </w:r>
          </w:p>
        </w:tc>
      </w:tr>
      <w:tr>
        <w:tc>
          <w:tcPr/>
          <w:p>
            <w:pPr>
              <w:pStyle w:val="Compact"/>
              <w:jc w:val="left"/>
            </w:pPr>
            <w:r>
              <w:t xml:space="preserve">M002</w:t>
            </w:r>
          </w:p>
        </w:tc>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0.4</w:t>
            </w:r>
          </w:p>
        </w:tc>
        <w:tc>
          <w:tcPr/>
          <w:p>
            <w:pPr>
              <w:pStyle w:val="Compact"/>
              <w:jc w:val="left"/>
            </w:pPr>
            <w:r>
              <w:t xml:space="preserve">kg</w:t>
            </w:r>
          </w:p>
        </w:tc>
        <w:tc>
          <w:tcPr/>
          <w:p>
            <w:pPr>
              <w:pStyle w:val="Compact"/>
              <w:jc w:val="left"/>
            </w:pPr>
            <w:r>
              <w:t xml:space="preserve">3.1</w:t>
            </w:r>
          </w:p>
        </w:tc>
        <w:tc>
          <w:tcPr/>
          <w:p>
            <w:pPr>
              <w:pStyle w:val="Compact"/>
              <w:jc w:val="left"/>
            </w:pPr>
            <w:r>
              <w:t xml:space="preserve">1.24</w:t>
            </w:r>
          </w:p>
        </w:tc>
      </w:tr>
      <w:tr>
        <w:tc>
          <w:tcPr/>
          <w:p>
            <w:pPr>
              <w:pStyle w:val="Compact"/>
              <w:jc w:val="left"/>
            </w:pPr>
            <w:r>
              <w:t xml:space="preserve">M003</w:t>
            </w:r>
          </w:p>
        </w:tc>
        <w:tc>
          <w:tcPr/>
          <w:p>
            <w:pPr>
              <w:pStyle w:val="Compact"/>
              <w:jc w:val="left"/>
            </w:pPr>
            <w:r>
              <w:t xml:space="preserve">Electronics Module</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0.15</w:t>
            </w:r>
          </w:p>
        </w:tc>
        <w:tc>
          <w:tcPr/>
          <w:p>
            <w:pPr>
              <w:pStyle w:val="Compact"/>
              <w:jc w:val="left"/>
            </w:pPr>
            <w:r>
              <w:t xml:space="preserve">unit</w:t>
            </w:r>
          </w:p>
        </w:tc>
        <w:tc>
          <w:tcPr/>
          <w:p>
            <w:pPr>
              <w:pStyle w:val="Compact"/>
              <w:jc w:val="left"/>
            </w:pPr>
            <w:r>
              <w:t xml:space="preserve">5.0</w:t>
            </w:r>
          </w:p>
        </w:tc>
        <w:tc>
          <w:tcPr/>
          <w:p>
            <w:pPr>
              <w:pStyle w:val="Compact"/>
              <w:jc w:val="left"/>
            </w:pPr>
            <w:r>
              <w:t xml:space="preserve">0.75</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Cutting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bl>
    <w:p>
      <w:pPr>
        <w:pStyle w:val="BodyText"/>
      </w:pPr>
      <w:r>
        <w:rPr>
          <w:bCs/>
          <w:b/>
        </w:rPr>
        <w:t xml:space="preserve">Total Material Carbon Impact:</w:t>
      </w:r>
      <w:r>
        <w:t xml:space="preserve"> </w:t>
      </w:r>
      <w:r>
        <w:t xml:space="preserve">3.95 kg CO2e</w:t>
      </w:r>
    </w:p>
    <w:bookmarkEnd w:id="28"/>
    <w:bookmarkStart w:id="29" w:name="production-energy-inputs-scope-1-2"/>
    <w:p>
      <w:pPr>
        <w:pStyle w:val="Heading3"/>
      </w:pPr>
      <w:r>
        <w:t xml:space="preserve">2.2. Production Energy Inputs (Scope 1 &amp; 2)</w:t>
      </w:r>
    </w:p>
    <w:p>
      <w:pPr>
        <w:pStyle w:val="FirstParagraph"/>
      </w:pPr>
      <w:r>
        <w:t xml:space="preserve">The energy consumed during the manufacturing of</w:t>
      </w:r>
      <w:r>
        <w:t xml:space="preserve"> </w:t>
      </w:r>
      <w:r>
        <w:rPr>
          <w:bCs/>
          <w:b/>
        </w:rPr>
        <w:t xml:space="preserve">stgnnuideo</w:t>
      </w:r>
      <w:r>
        <w:t xml:space="preserve"> </w:t>
      </w:r>
      <w:r>
        <w:t xml:space="preserve">in China is a significant contributor to the product\'s footprint. Illustrative values are used for calculation as the original parameters were strings.</w:t>
      </w:r>
    </w:p>
    <w:p>
      <w:pPr>
        <w:numPr>
          <w:ilvl w:val="0"/>
          <w:numId w:val="1005"/>
        </w:numPr>
        <w:pStyle w:val="Compact"/>
      </w:pPr>
      <w:r>
        <w:rPr>
          <w:bCs/>
          <w:b/>
        </w:rPr>
        <w:t xml:space="preserve">Energy Intensity (kWh/unit):</w:t>
      </w:r>
      <w:r>
        <w:t xml:space="preserve"> </w:t>
      </w:r>
      <w:r>
        <w:rPr>
          <w:rStyle w:val="VerbatimChar"/>
        </w:rPr>
        <w:t xml:space="preserve">mfynufyvop</w:t>
      </w:r>
      <w:r>
        <w:t xml:space="preserve"> </w:t>
      </w:r>
      <w:r>
        <w:t xml:space="preserve">= 10 kWh/unit (Illustrative)</w:t>
      </w:r>
    </w:p>
    <w:p>
      <w:pPr>
        <w:numPr>
          <w:ilvl w:val="0"/>
          <w:numId w:val="1005"/>
        </w:numPr>
        <w:pStyle w:val="Compact"/>
      </w:pPr>
      <w:r>
        <w:rPr>
          <w:bCs/>
          <w:b/>
        </w:rPr>
        <w:t xml:space="preserve">Renewable Energy Usage:</w:t>
      </w:r>
      <w:r>
        <w:t xml:space="preserve"> </w:t>
      </w:r>
      <w:r>
        <w:rPr>
          <w:rStyle w:val="VerbatimChar"/>
        </w:rPr>
        <w:t xml:space="preserve">ktgywotexg</w:t>
      </w:r>
      <w:r>
        <w:t xml:space="preserve"> </w:t>
      </w:r>
      <w:r>
        <w:t xml:space="preserve">= 50% (0.5) (Illustrative)</w:t>
      </w:r>
    </w:p>
    <w:p>
      <w:pPr>
        <w:numPr>
          <w:ilvl w:val="0"/>
          <w:numId w:val="1005"/>
        </w:numPr>
        <w:pStyle w:val="Compact"/>
      </w:pPr>
      <w:r>
        <w:rPr>
          <w:bCs/>
          <w:b/>
        </w:rPr>
        <w:t xml:space="preserve">Non-Renewable Energy Usage:</w:t>
      </w:r>
      <w:r>
        <w:t xml:space="preserve"> </w:t>
      </w:r>
      <w:r>
        <w:t xml:space="preserve">1 - 0.5 = 0.5 (50%)</w:t>
      </w:r>
    </w:p>
    <w:p>
      <w:pPr>
        <w:numPr>
          <w:ilvl w:val="0"/>
          <w:numId w:val="1005"/>
        </w:numPr>
        <w:pStyle w:val="Compact"/>
      </w:pPr>
      <w:r>
        <w:rPr>
          <w:bCs/>
          <w:b/>
        </w:rPr>
        <w:t xml:space="preserve">China Electricity Grid Emission Factor:</w:t>
      </w:r>
      <w:r>
        <w:t xml:space="preserve"> </w:t>
      </w:r>
      <w:r>
        <w:t xml:space="preserve">0.6205 kg CO2e/kWh (2023 national average)</w:t>
      </w:r>
    </w:p>
    <w:p>
      <w:pPr>
        <w:numPr>
          <w:ilvl w:val="0"/>
          <w:numId w:val="1005"/>
        </w:numPr>
        <w:pStyle w:val="Compact"/>
      </w:pPr>
      <w:r>
        <w:rPr>
          <w:bCs/>
          <w:b/>
        </w:rPr>
        <w:t xml:space="preserve">Renewable Energy Emission Factor:</w:t>
      </w:r>
      <w:r>
        <w:t xml:space="preserve"> </w:t>
      </w:r>
      <w:r>
        <w:t xml:space="preserve">0 kg CO2e/kWh (assumed for direct consumption of purchased renewable electricity)</w:t>
      </w:r>
    </w:p>
    <w:p>
      <w:pPr>
        <w:pStyle w:val="FirstParagraph"/>
      </w:pPr>
      <w:r>
        <w:rPr>
          <w:bCs/>
          <w:b/>
        </w:rPr>
        <w:t xml:space="preserve">Calculation:</w:t>
      </w:r>
    </w:p>
    <w:p>
      <w:pPr>
        <w:pStyle w:val="BodyText"/>
      </w:pPr>
      <w:r>
        <w:t xml:space="preserve">Emissions from Non-Renewable Electricity = 10 kWh/unit * 0.5 * 0.6205 kg CO2e/kWh = 3.1025 kg CO2e/unit</w:t>
      </w:r>
    </w:p>
    <w:p>
      <w:pPr>
        <w:pStyle w:val="BodyText"/>
      </w:pPr>
      <w:r>
        <w:t xml:space="preserve">Emissions from Renewable Electricity = 10 kWh/unit * 0.5 * 0 kg CO2e/kWh = 0 kg CO2e/unit</w:t>
      </w:r>
    </w:p>
    <w:p>
      <w:pPr>
        <w:pStyle w:val="BodyText"/>
      </w:pPr>
      <w:r>
        <w:rPr>
          <w:bCs/>
          <w:b/>
        </w:rPr>
        <w:t xml:space="preserve">Total Production Energy Emissions:</w:t>
      </w:r>
      <w:r>
        <w:t xml:space="preserve"> </w:t>
      </w:r>
      <w:r>
        <w:t xml:space="preserve">3.1025 kg CO2e/unit</w:t>
      </w:r>
    </w:p>
    <w:p>
      <w:r>
        <w:pict>
          <v:rect style="width:0;height:1.5pt" o:hralign="center" o:hrstd="t" o:hr="t"/>
        </w:pict>
      </w:r>
    </w:p>
    <w:bookmarkEnd w:id="29"/>
    <w:bookmarkEnd w:id="30"/>
    <w:bookmarkStart w:id="33" w:name="X868c37c7a6a42bd7152ce7cd46aff1eec36c0bd"/>
    <w:p>
      <w:pPr>
        <w:pStyle w:val="Heading2"/>
      </w:pPr>
      <w:r>
        <w:t xml:space="preserve">3. Logistics Data (Scope 3 - Upstream &amp; Downstream)</w:t>
      </w:r>
    </w:p>
    <w:p>
      <w:pPr>
        <w:pStyle w:val="FirstParagraph"/>
      </w:pPr>
      <w:r>
        <w:t xml:space="preserve">Transportation plays a critical role in the product\'s overall carbon footprint, especially with a supply chain focus on Europe and production in China. Illustrative values are used for calculation as the original parameters were strings.</w:t>
      </w:r>
    </w:p>
    <w:p>
      <w:pPr>
        <w:numPr>
          <w:ilvl w:val="0"/>
          <w:numId w:val="1006"/>
        </w:numPr>
        <w:pStyle w:val="Compact"/>
      </w:pPr>
      <w:r>
        <w:rPr>
          <w:bCs/>
          <w:b/>
        </w:rPr>
        <w:t xml:space="preserve">Transport Mode:</w:t>
      </w:r>
      <w:r>
        <w:t xml:space="preserve"> </w:t>
      </w:r>
      <w:r>
        <w:rPr>
          <w:rStyle w:val="VerbatimChar"/>
        </w:rPr>
        <w:t xml:space="preserve">Select Mode</w:t>
      </w:r>
      <w:r>
        <w:t xml:space="preserve"> </w:t>
      </w:r>
      <w:r>
        <w:t xml:space="preserve">= Road Freight (Illustrative)</w:t>
      </w:r>
    </w:p>
    <w:p>
      <w:pPr>
        <w:numPr>
          <w:ilvl w:val="0"/>
          <w:numId w:val="1006"/>
        </w:numPr>
        <w:pStyle w:val="Compact"/>
      </w:pPr>
      <w:r>
        <w:rPr>
          <w:bCs/>
          <w:b/>
        </w:rPr>
        <w:t xml:space="preserve">Transport Distance:</w:t>
      </w:r>
      <w:r>
        <w:t xml:space="preserve"> </w:t>
      </w:r>
      <w:r>
        <w:rPr>
          <w:rStyle w:val="VerbatimChar"/>
        </w:rPr>
        <w:t xml:space="preserve">uysyshwldm</w:t>
      </w:r>
      <w:r>
        <w:t xml:space="preserve"> </w:t>
      </w:r>
      <w:r>
        <w:t xml:space="preserve">= 1500 km (Illustrative)</w:t>
      </w:r>
    </w:p>
    <w:p>
      <w:pPr>
        <w:numPr>
          <w:ilvl w:val="0"/>
          <w:numId w:val="1006"/>
        </w:numPr>
        <w:pStyle w:val="Compact"/>
      </w:pPr>
      <w:r>
        <w:rPr>
          <w:bCs/>
          <w:b/>
        </w:rPr>
        <w:t xml:space="preserve">Last-Mile Delivery Channel:</w:t>
      </w:r>
      <w:r>
        <w:t xml:space="preserve"> </w:t>
      </w:r>
      <w:r>
        <w:rPr>
          <w:rStyle w:val="VerbatimChar"/>
        </w:rPr>
        <w:t xml:space="preserve">Delivery Type</w:t>
      </w:r>
      <w:r>
        <w:t xml:space="preserve"> </w:t>
      </w:r>
      <w:r>
        <w:t xml:space="preserve">= Van Delivery (Illustrative)</w:t>
      </w:r>
    </w:p>
    <w:bookmarkStart w:id="31" w:name="main-transport-emissions"/>
    <w:p>
      <w:pPr>
        <w:pStyle w:val="Heading3"/>
      </w:pPr>
      <w:r>
        <w:t xml:space="preserve">3.1. Main Transport Emissions</w:t>
      </w:r>
    </w:p>
    <w:p>
      <w:pPr>
        <w:pStyle w:val="FirstParagraph"/>
      </w:pPr>
      <w:r>
        <w:t xml:space="preserve">Assuming Road Freight from China to Europe, which is a simplification for a "Europe Focused" supply chain, typically involving sea freight for long distances. For this illustrative calculation, we assume a representative road freight equivalent for the purpose of demonstrating the methodology.</w:t>
      </w:r>
    </w:p>
    <w:p>
      <w:pPr>
        <w:numPr>
          <w:ilvl w:val="0"/>
          <w:numId w:val="1007"/>
        </w:numPr>
        <w:pStyle w:val="Compact"/>
      </w:pPr>
      <w:r>
        <w:rPr>
          <w:bCs/>
          <w:b/>
        </w:rPr>
        <w:t xml:space="preserve">Average product weight for transport:</w:t>
      </w:r>
      <w:r>
        <w:t xml:space="preserve"> </w:t>
      </w:r>
      <w:r>
        <w:t xml:space="preserve">~1.55 kg (sum of illustrative BOM items)</w:t>
      </w:r>
    </w:p>
    <w:p>
      <w:pPr>
        <w:numPr>
          <w:ilvl w:val="0"/>
          <w:numId w:val="1007"/>
        </w:numPr>
        <w:pStyle w:val="Compact"/>
      </w:pPr>
      <w:r>
        <w:rPr>
          <w:bCs/>
          <w:b/>
        </w:rPr>
        <w:t xml:space="preserve">Road Freight Emission Factor:</w:t>
      </w:r>
      <w:r>
        <w:t xml:space="preserve"> </w:t>
      </w:r>
      <w:r>
        <w:t xml:space="preserve">0.065 kg CO2e/tonne-km</w:t>
      </w:r>
    </w:p>
    <w:p>
      <w:pPr>
        <w:pStyle w:val="FirstParagraph"/>
      </w:pPr>
      <w:r>
        <w:rPr>
          <w:bCs/>
          <w:b/>
        </w:rPr>
        <w:t xml:space="preserve">Calculation:</w:t>
      </w:r>
    </w:p>
    <w:p>
      <w:pPr>
        <w:pStyle w:val="BodyText"/>
      </w:pPr>
      <w:r>
        <w:t xml:space="preserve">Total tonne-km = (1.55 kg / 1000 kg/tonne) * 1500 km = 2.325 tonne-km</w:t>
      </w:r>
    </w:p>
    <w:p>
      <w:pPr>
        <w:pStyle w:val="BodyText"/>
      </w:pPr>
      <w:r>
        <w:t xml:space="preserve">Main Transport Emissions = 2.325 tonne-km * 0.065 kg CO2e/tonne-km = 0.151125 kg CO2e/unit</w:t>
      </w:r>
    </w:p>
    <w:bookmarkEnd w:id="31"/>
    <w:bookmarkStart w:id="32" w:name="last-mile-delivery-emissions"/>
    <w:p>
      <w:pPr>
        <w:pStyle w:val="Heading3"/>
      </w:pPr>
      <w:r>
        <w:t xml:space="preserve">3.2. Last-Mile Delivery Emissions</w:t>
      </w:r>
    </w:p>
    <w:p>
      <w:pPr>
        <w:pStyle w:val="FirstParagraph"/>
      </w:pPr>
      <w:r>
        <w:t xml:space="preserve">Assuming a typical van delivery for the last mile.</w:t>
      </w:r>
    </w:p>
    <w:p>
      <w:pPr>
        <w:numPr>
          <w:ilvl w:val="0"/>
          <w:numId w:val="1008"/>
        </w:numPr>
        <w:pStyle w:val="Compact"/>
      </w:pPr>
      <w:r>
        <w:rPr>
          <w:bCs/>
          <w:b/>
        </w:rPr>
        <w:t xml:space="preserve">Last-Mile Van Emission Factor:</w:t>
      </w:r>
      <w:r>
        <w:t xml:space="preserve"> </w:t>
      </w:r>
      <w:r>
        <w:t xml:space="preserve">0.24934 kg CO2e/km (for average van)</w:t>
      </w:r>
    </w:p>
    <w:p>
      <w:pPr>
        <w:numPr>
          <w:ilvl w:val="0"/>
          <w:numId w:val="1008"/>
        </w:numPr>
        <w:pStyle w:val="Compact"/>
      </w:pPr>
      <w:r>
        <w:rPr>
          <w:bCs/>
          <w:b/>
        </w:rPr>
        <w:t xml:space="preserve">Assumed Last-Mile Distance:</w:t>
      </w:r>
      <w:r>
        <w:t xml:space="preserve"> </w:t>
      </w:r>
      <w:r>
        <w:t xml:space="preserve">5 km/unit (Illustrative)</w:t>
      </w:r>
    </w:p>
    <w:p>
      <w:pPr>
        <w:pStyle w:val="FirstParagraph"/>
      </w:pPr>
      <w:r>
        <w:rPr>
          <w:bCs/>
          <w:b/>
        </w:rPr>
        <w:t xml:space="preserve">Calculation:</w:t>
      </w:r>
    </w:p>
    <w:p>
      <w:pPr>
        <w:pStyle w:val="BodyText"/>
      </w:pPr>
      <w:r>
        <w:t xml:space="preserve">Last-Mile Delivery Emissions = 0.24934 kg CO2e/km * 5 km/unit = 1.2467 kg CO2e/unit</w:t>
      </w:r>
    </w:p>
    <w:p>
      <w:pPr>
        <w:pStyle w:val="BodyText"/>
      </w:pPr>
      <w:r>
        <w:rPr>
          <w:bCs/>
          <w:b/>
        </w:rPr>
        <w:t xml:space="preserve">Total Transport Emissions:</w:t>
      </w:r>
      <w:r>
        <w:t xml:space="preserve"> </w:t>
      </w:r>
      <w:r>
        <w:t xml:space="preserve">0.151125 kg CO2e (Main Transport) + 1.2467 kg CO2e (Last-Mile) = 1.397825 kg CO2e/unit</w:t>
      </w:r>
    </w:p>
    <w:p>
      <w:r>
        <w:pict>
          <v:rect style="width:0;height:1.5pt" o:hralign="center" o:hrstd="t" o:hr="t"/>
        </w:pict>
      </w:r>
    </w:p>
    <w:bookmarkEnd w:id="32"/>
    <w:bookmarkEnd w:id="33"/>
    <w:bookmarkStart w:id="34" w:name="X33261a417f49561c54edeba4ab91b6015ca7f91"/>
    <w:p>
      <w:pPr>
        <w:pStyle w:val="Heading2"/>
      </w:pPr>
      <w:r>
        <w:t xml:space="preserve">4. Use Phase Calculation (Scope 3 - Downstream)</w:t>
      </w:r>
    </w:p>
    <w:p>
      <w:pPr>
        <w:pStyle w:val="FirstParagraph"/>
      </w:pPr>
      <w:r>
        <w:t xml:space="preserve">The energy consumed during the product\'s lifespan contributes to its overall environmental impact. Illustrative values are used for calculation as the original parameters were strings.</w:t>
      </w:r>
    </w:p>
    <w:p>
      <w:pPr>
        <w:numPr>
          <w:ilvl w:val="0"/>
          <w:numId w:val="1009"/>
        </w:numPr>
        <w:pStyle w:val="Compact"/>
      </w:pPr>
      <w:r>
        <w:rPr>
          <w:bCs/>
          <w:b/>
        </w:rPr>
        <w:t xml:space="preserve">Product Lifespan:</w:t>
      </w:r>
      <w:r>
        <w:t xml:space="preserve"> </w:t>
      </w:r>
      <w:r>
        <w:rPr>
          <w:rStyle w:val="VerbatimChar"/>
        </w:rPr>
        <w:t xml:space="preserve">qpsnqiievh</w:t>
      </w:r>
      <w:r>
        <w:t xml:space="preserve"> </w:t>
      </w:r>
      <w:r>
        <w:t xml:space="preserve">= 5 years (Illustrative)</w:t>
      </w:r>
    </w:p>
    <w:p>
      <w:pPr>
        <w:numPr>
          <w:ilvl w:val="0"/>
          <w:numId w:val="1009"/>
        </w:numPr>
        <w:pStyle w:val="Compact"/>
      </w:pPr>
      <w:r>
        <w:rPr>
          <w:bCs/>
          <w:b/>
        </w:rPr>
        <w:t xml:space="preserve">Energy Consumption in Use:</w:t>
      </w:r>
      <w:r>
        <w:t xml:space="preserve"> </w:t>
      </w:r>
      <w:r>
        <w:rPr>
          <w:rStyle w:val="VerbatimChar"/>
        </w:rPr>
        <w:t xml:space="preserve">irhzrpzolv</w:t>
      </w:r>
      <w:r>
        <w:t xml:space="preserve"> </w:t>
      </w:r>
      <w:r>
        <w:t xml:space="preserve">= 20 kWh/year (Illustrative)</w:t>
      </w:r>
    </w:p>
    <w:p>
      <w:pPr>
        <w:numPr>
          <w:ilvl w:val="0"/>
          <w:numId w:val="1009"/>
        </w:numPr>
        <w:pStyle w:val="Compact"/>
      </w:pPr>
      <w:r>
        <w:rPr>
          <w:bCs/>
          <w:b/>
        </w:rPr>
        <w:t xml:space="preserve">Total Energy Consumption over Lifespan:</w:t>
      </w:r>
      <w:r>
        <w:t xml:space="preserve"> </w:t>
      </w:r>
      <w:r>
        <w:t xml:space="preserve">5 years * 20 kWh/year = 100 kWh/unit</w:t>
      </w:r>
    </w:p>
    <w:p>
      <w:pPr>
        <w:numPr>
          <w:ilvl w:val="0"/>
          <w:numId w:val="1009"/>
        </w:numPr>
        <w:pStyle w:val="Compact"/>
      </w:pPr>
      <w:r>
        <w:rPr>
          <w:bCs/>
          <w:b/>
        </w:rPr>
        <w:t xml:space="preserve">EU Average Electricity Grid Emission Factor:</w:t>
      </w:r>
      <w:r>
        <w:t xml:space="preserve"> </w:t>
      </w:r>
      <w:r>
        <w:t xml:space="preserve">0.181 kg CO2e/kWh (2024 average)</w:t>
      </w:r>
    </w:p>
    <w:p>
      <w:pPr>
        <w:pStyle w:val="FirstParagraph"/>
      </w:pPr>
      <w:r>
        <w:rPr>
          <w:bCs/>
          <w:b/>
        </w:rPr>
        <w:t xml:space="preserve">Calculation:</w:t>
      </w:r>
    </w:p>
    <w:p>
      <w:pPr>
        <w:pStyle w:val="BodyText"/>
      </w:pPr>
      <w:r>
        <w:t xml:space="preserve">Use Phase Emissions = 100 kWh/unit * 0.181 kg CO2e/kWh = 18.1 kg CO2e/unit</w:t>
      </w:r>
    </w:p>
    <w:p>
      <w:r>
        <w:pict>
          <v:rect style="width:0;height:1.5pt" o:hralign="center" o:hrstd="t" o:hr="t"/>
        </w:pict>
      </w:r>
    </w:p>
    <w:bookmarkEnd w:id="34"/>
    <w:bookmarkStart w:id="37" w:name="X2449e76f36fce2c9fec3c701a472f020b80894d"/>
    <w:p>
      <w:pPr>
        <w:pStyle w:val="Heading2"/>
      </w:pPr>
      <w:r>
        <w:t xml:space="preserve">5. End-of-Life (EoL) Scenarios (Scope 3 - Downstream)</w:t>
      </w:r>
    </w:p>
    <w:p>
      <w:pPr>
        <w:pStyle w:val="FirstParagraph"/>
      </w:pPr>
      <w:r>
        <w:t xml:space="preserve">End-of-Life scenarios incorporate circular economy impacts, including recyclability and take-back programs. Illustrative values are used for calculation as the original parameters were strings.</w:t>
      </w:r>
    </w:p>
    <w:p>
      <w:pPr>
        <w:numPr>
          <w:ilvl w:val="0"/>
          <w:numId w:val="1010"/>
        </w:numPr>
        <w:pStyle w:val="Compact"/>
      </w:pPr>
      <w:r>
        <w:rPr>
          <w:bCs/>
          <w:b/>
        </w:rPr>
        <w:t xml:space="preserve">Recyclability Percentage:</w:t>
      </w:r>
      <w:r>
        <w:t xml:space="preserve"> </w:t>
      </w:r>
      <w:r>
        <w:rPr>
          <w:rStyle w:val="VerbatimChar"/>
        </w:rPr>
        <w:t xml:space="preserve">jlywegeeme</w:t>
      </w:r>
      <w:r>
        <w:t xml:space="preserve"> </w:t>
      </w:r>
      <w:r>
        <w:t xml:space="preserve">= 80% (0.8) (Illustrative)</w:t>
      </w:r>
    </w:p>
    <w:p>
      <w:pPr>
        <w:numPr>
          <w:ilvl w:val="0"/>
          <w:numId w:val="1010"/>
        </w:numPr>
        <w:pStyle w:val="Compact"/>
      </w:pPr>
      <w:r>
        <w:rPr>
          <w:bCs/>
          <w:b/>
        </w:rPr>
        <w:t xml:space="preserve">Circular/Take-back Programs:</w:t>
      </w:r>
      <w:r>
        <w:t xml:space="preserve"> </w:t>
      </w:r>
      <w:r>
        <w:rPr>
          <w:rStyle w:val="VerbatimChar"/>
        </w:rPr>
        <w:t xml:space="preserve">nqwidyfuiy</w:t>
      </w:r>
      <w:r>
        <w:t xml:space="preserve"> </w:t>
      </w:r>
      <w:r>
        <w:t xml:space="preserve">= Yes, operational (Illustrative)</w:t>
      </w:r>
    </w:p>
    <w:p>
      <w:pPr>
        <w:pStyle w:val="FirstParagraph"/>
      </w:pPr>
      <w:r>
        <w:rPr>
          <w:bCs/>
          <w:b/>
        </w:rPr>
        <w:t xml:space="preserve">Assumptions for EoL modeling:</w:t>
      </w:r>
    </w:p>
    <w:p>
      <w:pPr>
        <w:numPr>
          <w:ilvl w:val="0"/>
          <w:numId w:val="1011"/>
        </w:numPr>
        <w:pStyle w:val="Compact"/>
      </w:pPr>
      <w:r>
        <w:t xml:space="preserve">80% of the product\'s material mass (excluding packaging, which is often handled separately) is assumed to be recycled.</w:t>
      </w:r>
    </w:p>
    <w:p>
      <w:pPr>
        <w:numPr>
          <w:ilvl w:val="0"/>
          <w:numId w:val="1011"/>
        </w:numPr>
        <w:pStyle w:val="Compact"/>
      </w:pPr>
      <w:r>
        <w:t xml:space="preserve">The remaining 20% is sent to landfill.</w:t>
      </w:r>
    </w:p>
    <w:p>
      <w:pPr>
        <w:numPr>
          <w:ilvl w:val="0"/>
          <w:numId w:val="1011"/>
        </w:numPr>
        <w:pStyle w:val="Compact"/>
      </w:pPr>
      <w:r>
        <w:t xml:space="preserve">Packaging (cardboard) is assumed to be 100% recycled (avoided emissions).</w:t>
      </w:r>
    </w:p>
    <w:p>
      <w:pPr>
        <w:pStyle w:val="FirstParagraph"/>
      </w:pPr>
      <w:r>
        <w:rPr>
          <w:bCs/>
          <w:b/>
        </w:rPr>
        <w:t xml:space="preserve">Material Mass (excluding packaging):</w:t>
      </w:r>
      <w:r>
        <w:t xml:space="preserve"> </w:t>
      </w:r>
      <w:r>
        <w:t xml:space="preserve">0.8 kg (Steel) + 0.4 kg (Plastic) + 0.15 kg (Electronics) = 1.35 kg</w:t>
      </w:r>
    </w:p>
    <w:p>
      <w:pPr>
        <w:numPr>
          <w:ilvl w:val="0"/>
          <w:numId w:val="1012"/>
        </w:numPr>
        <w:pStyle w:val="Compact"/>
      </w:pPr>
      <w:r>
        <w:rPr>
          <w:bCs/>
          <w:b/>
        </w:rPr>
        <w:t xml:space="preserve">Recycled Material Mass:</w:t>
      </w:r>
      <w:r>
        <w:t xml:space="preserve"> </w:t>
      </w:r>
      <w:r>
        <w:t xml:space="preserve">1.35 kg * 0.8 = 1.08 kg</w:t>
      </w:r>
    </w:p>
    <w:p>
      <w:pPr>
        <w:numPr>
          <w:ilvl w:val="0"/>
          <w:numId w:val="1012"/>
        </w:numPr>
        <w:pStyle w:val="Compact"/>
      </w:pPr>
      <w:r>
        <w:rPr>
          <w:bCs/>
          <w:b/>
        </w:rPr>
        <w:t xml:space="preserve">Landfilled Material Mass:</w:t>
      </w:r>
      <w:r>
        <w:t xml:space="preserve"> </w:t>
      </w:r>
      <w:r>
        <w:t xml:space="preserve">1.35 kg * 0.2 = 0.27 kg</w:t>
      </w:r>
    </w:p>
    <w:p>
      <w:pPr>
        <w:numPr>
          <w:ilvl w:val="0"/>
          <w:numId w:val="1012"/>
        </w:numPr>
        <w:pStyle w:val="Compact"/>
      </w:pPr>
      <w:r>
        <w:rPr>
          <w:bCs/>
          <w:b/>
        </w:rPr>
        <w:t xml:space="preserve">Packaging Mass:</w:t>
      </w:r>
      <w:r>
        <w:t xml:space="preserve"> </w:t>
      </w:r>
      <w:r>
        <w:t xml:space="preserve">0.2 kg</w:t>
      </w:r>
    </w:p>
    <w:bookmarkStart w:id="35" w:name="avoided-emissions-from-recycling"/>
    <w:p>
      <w:pPr>
        <w:pStyle w:val="Heading3"/>
      </w:pPr>
      <w:r>
        <w:t xml:space="preserve">5.1. Avoided Emissions from Recycling</w:t>
      </w:r>
    </w:p>
    <w:p>
      <w:pPr>
        <w:pStyle w:val="FirstParagraph"/>
      </w:pPr>
      <w:r>
        <w:t xml:space="preserve">For illustrative purposes, we apply average recycling credits:</w:t>
      </w:r>
    </w:p>
    <w:p>
      <w:pPr>
        <w:numPr>
          <w:ilvl w:val="0"/>
          <w:numId w:val="1013"/>
        </w:numPr>
        <w:pStyle w:val="Compact"/>
      </w:pPr>
      <w:r>
        <w:rPr>
          <w:bCs/>
          <w:b/>
        </w:rPr>
        <w:t xml:space="preserve">Steel Recycling Credit:</w:t>
      </w:r>
      <w:r>
        <w:t xml:space="preserve"> </w:t>
      </w:r>
      <w:r>
        <w:t xml:space="preserve">-1.5 kg CO2e/kg (avoided emissions from virgin production)</w:t>
      </w:r>
    </w:p>
    <w:p>
      <w:pPr>
        <w:numPr>
          <w:ilvl w:val="0"/>
          <w:numId w:val="1013"/>
        </w:numPr>
        <w:pStyle w:val="Compact"/>
      </w:pPr>
      <w:r>
        <w:rPr>
          <w:bCs/>
          <w:b/>
        </w:rPr>
        <w:t xml:space="preserve">Plastic Recycling Credit:</w:t>
      </w:r>
      <w:r>
        <w:t xml:space="preserve"> </w:t>
      </w:r>
      <w:r>
        <w:t xml:space="preserve">-2.5 kg CO2e/kg (avoided emissions from virgin production)</w:t>
      </w:r>
    </w:p>
    <w:p>
      <w:pPr>
        <w:numPr>
          <w:ilvl w:val="0"/>
          <w:numId w:val="1013"/>
        </w:numPr>
        <w:pStyle w:val="Compact"/>
      </w:pPr>
      <w:r>
        <w:rPr>
          <w:bCs/>
          <w:b/>
        </w:rPr>
        <w:t xml:space="preserve">Cardboard Recycling Credit:</w:t>
      </w:r>
      <w:r>
        <w:t xml:space="preserve"> </w:t>
      </w:r>
      <w:r>
        <w:t xml:space="preserve">-0.8 kg CO2e/kg (illustrative, typical for paper recycling)</w:t>
      </w:r>
    </w:p>
    <w:p>
      <w:pPr>
        <w:pStyle w:val="FirstParagraph"/>
      </w:pPr>
      <w:r>
        <w:rPr>
          <w:bCs/>
          <w:b/>
        </w:rPr>
        <w:t xml:space="preserve">Illustrative Composition of Recycled Material (80% of 1.35 kg = 1.08 kg):</w:t>
      </w:r>
    </w:p>
    <w:p>
      <w:pPr>
        <w:numPr>
          <w:ilvl w:val="0"/>
          <w:numId w:val="1014"/>
        </w:numPr>
        <w:pStyle w:val="Compact"/>
      </w:pPr>
      <w:r>
        <w:t xml:space="preserve">Steel: (0.8 kg / 1.35 kg) * 1.08 kg = 0.64 kg</w:t>
      </w:r>
    </w:p>
    <w:p>
      <w:pPr>
        <w:numPr>
          <w:ilvl w:val="0"/>
          <w:numId w:val="1014"/>
        </w:numPr>
        <w:pStyle w:val="Compact"/>
      </w:pPr>
      <w:r>
        <w:t xml:space="preserve">Plastic: (0.4 kg / 1.35 kg) * 1.08 kg = 0.32 kg</w:t>
      </w:r>
    </w:p>
    <w:p>
      <w:pPr>
        <w:numPr>
          <w:ilvl w:val="0"/>
          <w:numId w:val="1014"/>
        </w:numPr>
        <w:pStyle w:val="Compact"/>
      </w:pPr>
      <w:r>
        <w:t xml:space="preserve">Electronics: (0.15 kg / 1.35 kg) * 1.08 kg = 0.12 kg (assuming some recycling, but often less efficient)</w:t>
      </w:r>
    </w:p>
    <w:p>
      <w:pPr>
        <w:pStyle w:val="FirstParagraph"/>
      </w:pPr>
      <w:r>
        <w:rPr>
          <w:bCs/>
          <w:b/>
        </w:rPr>
        <w:t xml:space="preserve">Calculation for Avoided Emissions:</w:t>
      </w:r>
    </w:p>
    <w:p>
      <w:pPr>
        <w:pStyle w:val="BodyText"/>
      </w:pPr>
      <w:r>
        <w:t xml:space="preserve">Avoided Emissions (Steel) = 0.64 kg * (-1.5 kg CO2e/kg) = -0.96 kg CO2e</w:t>
      </w:r>
    </w:p>
    <w:p>
      <w:pPr>
        <w:pStyle w:val="BodyText"/>
      </w:pPr>
      <w:r>
        <w:t xml:space="preserve">Avoided Emissions (Plastic) = 0.32 kg * (-2.5 kg CO2e/kg) = -0.80 kg CO2e</w:t>
      </w:r>
    </w:p>
    <w:p>
      <w:pPr>
        <w:pStyle w:val="BodyText"/>
      </w:pPr>
      <w:r>
        <w:t xml:space="preserve">Avoided Emissions (Electronics) = 0.12 kg * (-0.5 kg CO2e/kg) = -0.06 kg CO2e (illustrative, lower credit)</w:t>
      </w:r>
    </w:p>
    <w:p>
      <w:pPr>
        <w:pStyle w:val="BodyText"/>
      </w:pPr>
      <w:r>
        <w:t xml:space="preserve">Avoided Emissions (Packaging) = 0.2 kg * (-0.8 kg CO2e/kg) = -0.16 kg CO2e</w:t>
      </w:r>
    </w:p>
    <w:p>
      <w:pPr>
        <w:pStyle w:val="BodyText"/>
      </w:pPr>
      <w:r>
        <w:rPr>
          <w:bCs/>
          <w:b/>
        </w:rPr>
        <w:t xml:space="preserve">Total Avoided Emissions from Recycling:</w:t>
      </w:r>
      <w:r>
        <w:t xml:space="preserve"> </w:t>
      </w:r>
      <w:r>
        <w:t xml:space="preserve">-0.96 + -0.80 + -0.06 + -0.16 = -1.98 kg CO2e</w:t>
      </w:r>
    </w:p>
    <w:bookmarkEnd w:id="35"/>
    <w:bookmarkStart w:id="36" w:name="emissions-from-landfilling"/>
    <w:p>
      <w:pPr>
        <w:pStyle w:val="Heading3"/>
      </w:pPr>
      <w:r>
        <w:t xml:space="preserve">5.2. Emissions from Landfilling</w:t>
      </w:r>
    </w:p>
    <w:p>
      <w:pPr>
        <w:pStyle w:val="FirstParagraph"/>
      </w:pPr>
      <w:r>
        <w:t xml:space="preserve">For the 20% of product material and any non-recycled components sent to landfill.</w:t>
      </w:r>
    </w:p>
    <w:p>
      <w:pPr>
        <w:numPr>
          <w:ilvl w:val="0"/>
          <w:numId w:val="1015"/>
        </w:numPr>
        <w:pStyle w:val="Compact"/>
      </w:pPr>
      <w:r>
        <w:rPr>
          <w:bCs/>
          <w:b/>
        </w:rPr>
        <w:t xml:space="preserve">Landfill Emission Factor:</w:t>
      </w:r>
      <w:r>
        <w:t xml:space="preserve"> </w:t>
      </w:r>
      <w:r>
        <w:t xml:space="preserve">0.07 kg CO2e/kg (for low-organic-carbon mixed waste)</w:t>
      </w:r>
    </w:p>
    <w:p>
      <w:pPr>
        <w:pStyle w:val="FirstParagraph"/>
      </w:pPr>
      <w:r>
        <w:rPr>
          <w:bCs/>
          <w:b/>
        </w:rPr>
        <w:t xml:space="preserve">Calculation for Landfill Emissions:</w:t>
      </w:r>
    </w:p>
    <w:p>
      <w:pPr>
        <w:pStyle w:val="BodyText"/>
      </w:pPr>
      <w:r>
        <w:t xml:space="preserve">Landfill Emissions = 0.27 kg * 0.07 kg CO2e/kg = 0.0189 kg CO2e</w:t>
      </w:r>
    </w:p>
    <w:p>
      <w:pPr>
        <w:pStyle w:val="BodyText"/>
      </w:pPr>
      <w:r>
        <w:rPr>
          <w:bCs/>
          <w:b/>
        </w:rPr>
        <w:t xml:space="preserve">Total End-of-Life Emissions:</w:t>
      </w:r>
      <w:r>
        <w:t xml:space="preserve"> </w:t>
      </w:r>
      <w:r>
        <w:t xml:space="preserve">-1.98 kg CO2e + 0.0189 kg CO2e = -1.9611 kg CO2e (Net avoided emissions)</w:t>
      </w:r>
    </w:p>
    <w:p>
      <w:r>
        <w:pict>
          <v:rect style="width:0;height:1.5pt" o:hralign="center" o:hrstd="t" o:hr="t"/>
        </w:pict>
      </w:r>
    </w:p>
    <w:bookmarkEnd w:id="36"/>
    <w:bookmarkEnd w:id="37"/>
    <w:bookmarkStart w:id="40" w:name="overall-product-carbon-footprint-summary"/>
    <w:p>
      <w:pPr>
        <w:pStyle w:val="Heading2"/>
      </w:pPr>
      <w:r>
        <w:t xml:space="preserve">6. Overall Product Carbon Footprint Summary</w:t>
      </w:r>
    </w:p>
    <w:p>
      <w:pPr>
        <w:pStyle w:val="FirstParagraph"/>
      </w:pPr>
      <w:r>
        <w:t xml:space="preserve">The aggregated results from each lifecycle stage provide the total carbon footprint for one functional unit of</w:t>
      </w:r>
      <w:r>
        <w:t xml:space="preserve"> </w:t>
      </w:r>
      <w:r>
        <w:rPr>
          <w:bCs/>
          <w:b/>
        </w:rPr>
        <w:t xml:space="preserve">stgnnuideo</w:t>
      </w:r>
      <w:r>
        <w:t xml:space="preserve">.</w:t>
      </w:r>
    </w:p>
    <w:bookmarkStart w:id="38" w:name="pcf-by-lifecycle-stage"/>
    <w:p>
      <w:pPr>
        <w:pStyle w:val="Heading3"/>
      </w:pPr>
      <w:r>
        <w:t xml:space="preserve">6.1. PCF by Lifecycle Stage</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Lifecycle Stage</w:t>
            </w:r>
          </w:p>
        </w:tc>
        <w:tc>
          <w:tcPr/>
          <w:p>
            <w:pPr>
              <w:pStyle w:val="Compact"/>
              <w:jc w:val="left"/>
            </w:pPr>
            <w:r>
              <w:t xml:space="preserve">Emissions (kg CO2e/unit)</w:t>
            </w:r>
          </w:p>
        </w:tc>
      </w:tr>
      <w:tr>
        <w:tc>
          <w:tcPr/>
          <w:p>
            <w:pPr>
              <w:pStyle w:val="Compact"/>
              <w:jc w:val="left"/>
            </w:pPr>
            <w:r>
              <w:t xml:space="preserve">Raw Material Acquisition &amp; Pre-processing (from BOM)</w:t>
            </w:r>
          </w:p>
        </w:tc>
        <w:tc>
          <w:tcPr/>
          <w:p>
            <w:pPr>
              <w:pStyle w:val="Compact"/>
              <w:jc w:val="left"/>
            </w:pPr>
            <w:r>
              <w:t xml:space="preserve">3.95</w:t>
            </w:r>
          </w:p>
        </w:tc>
      </w:tr>
      <w:tr>
        <w:tc>
          <w:tcPr/>
          <w:p>
            <w:pPr>
              <w:pStyle w:val="Compact"/>
              <w:jc w:val="left"/>
            </w:pPr>
            <w:r>
              <w:t xml:space="preserve">Manufacturing (Production Energy)</w:t>
            </w:r>
          </w:p>
        </w:tc>
        <w:tc>
          <w:tcPr/>
          <w:p>
            <w:pPr>
              <w:pStyle w:val="Compact"/>
              <w:jc w:val="left"/>
            </w:pPr>
            <w:r>
              <w:t xml:space="preserve">3.1025</w:t>
            </w:r>
          </w:p>
        </w:tc>
      </w:tr>
      <w:tr>
        <w:tc>
          <w:tcPr/>
          <w:p>
            <w:pPr>
              <w:pStyle w:val="Compact"/>
              <w:jc w:val="left"/>
            </w:pPr>
            <w:r>
              <w:t xml:space="preserve">Transportation &amp; Distribution</w:t>
            </w:r>
          </w:p>
        </w:tc>
        <w:tc>
          <w:tcPr/>
          <w:p>
            <w:pPr>
              <w:pStyle w:val="Compact"/>
              <w:jc w:val="left"/>
            </w:pPr>
            <w:r>
              <w:t xml:space="preserve">1.3978</w:t>
            </w:r>
          </w:p>
        </w:tc>
      </w:tr>
      <w:tr>
        <w:tc>
          <w:tcPr/>
          <w:p>
            <w:pPr>
              <w:pStyle w:val="Compact"/>
              <w:jc w:val="left"/>
            </w:pPr>
            <w:r>
              <w:t xml:space="preserve">Use Phase</w:t>
            </w:r>
          </w:p>
        </w:tc>
        <w:tc>
          <w:tcPr/>
          <w:p>
            <w:pPr>
              <w:pStyle w:val="Compact"/>
              <w:jc w:val="left"/>
            </w:pPr>
            <w:r>
              <w:t xml:space="preserve">18.1</w:t>
            </w:r>
          </w:p>
        </w:tc>
      </w:tr>
      <w:tr>
        <w:tc>
          <w:tcPr/>
          <w:p>
            <w:pPr>
              <w:pStyle w:val="Compact"/>
              <w:jc w:val="left"/>
            </w:pPr>
            <w:r>
              <w:t xml:space="preserve">End-of-Life (Net)</w:t>
            </w:r>
          </w:p>
        </w:tc>
        <w:tc>
          <w:tcPr/>
          <w:p>
            <w:pPr>
              <w:pStyle w:val="Compact"/>
              <w:jc w:val="left"/>
            </w:pPr>
            <w:r>
              <w:t xml:space="preserve">-1.9611</w:t>
            </w:r>
          </w:p>
        </w:tc>
      </w:tr>
    </w:tbl>
    <w:p>
      <w:pPr>
        <w:pStyle w:val="BodyText"/>
      </w:pPr>
      <w:r>
        <w:rPr>
          <w:bCs/>
          <w:b/>
        </w:rPr>
        <w:t xml:space="preserve">Total Product Carbon Footprint for stgnnuideo: 24.5892 kg CO2e/unit</w:t>
      </w:r>
    </w:p>
    <w:bookmarkEnd w:id="38"/>
    <w:bookmarkStart w:id="39" w:name="ghg-protocol-scopes-summary"/>
    <w:p>
      <w:pPr>
        <w:pStyle w:val="Heading3"/>
      </w:pPr>
      <w:r>
        <w:t xml:space="preserve">6.2. GHG Protocol Scopes Summary</w:t>
      </w:r>
    </w:p>
    <w:p>
      <w:pPr>
        <w:pStyle w:val="FirstParagraph"/>
      </w:pPr>
      <w:r>
        <w:t xml:space="preserve">Based on the calculations, emissions are categorized as per the GHG Protocol:</w:t>
      </w:r>
    </w:p>
    <w:p>
      <w:pPr>
        <w:numPr>
          <w:ilvl w:val="0"/>
          <w:numId w:val="1016"/>
        </w:numPr>
        <w:pStyle w:val="Compact"/>
      </w:pPr>
      <w:r>
        <w:rPr>
          <w:bCs/>
          <w:b/>
        </w:rPr>
        <w:t xml:space="preserve">Scope 1 (Direct Emissions):</w:t>
      </w:r>
      <w:r>
        <w:t xml:space="preserve"> </w:t>
      </w:r>
      <w:r>
        <w:t xml:space="preserve">Typically negligible for product PCF, unless on-site fuel combustion or process emissions are significant and not covered by purchased energy. For this analysis, direct process emissions were implicitly included in material EFs or negligible. No direct Scope 1 emissions calculated explicitly from the provided parameters.</w:t>
      </w:r>
    </w:p>
    <w:p>
      <w:pPr>
        <w:numPr>
          <w:ilvl w:val="0"/>
          <w:numId w:val="1016"/>
        </w:numPr>
        <w:pStyle w:val="Compact"/>
      </w:pPr>
      <w:r>
        <w:rPr>
          <w:bCs/>
          <w:b/>
        </w:rPr>
        <w:t xml:space="preserve">Scope 2 (Purchased Energy):</w:t>
      </w:r>
      <w:r>
        <w:t xml:space="preserve"> </w:t>
      </w:r>
      <w:r>
        <w:t xml:space="preserve">Emissions from electricity purchased for manufacturing.</w:t>
      </w:r>
    </w:p>
    <w:p>
      <w:pPr>
        <w:numPr>
          <w:ilvl w:val="0"/>
          <w:numId w:val="1016"/>
        </w:numPr>
        <w:pStyle w:val="Compact"/>
      </w:pPr>
      <w:r>
        <w:rPr>
          <w:bCs/>
          <w:b/>
        </w:rPr>
        <w:t xml:space="preserve">Scope 3 (Value Chain Emissions):</w:t>
      </w:r>
      <w:r>
        <w:t xml:space="preserve"> </w:t>
      </w:r>
      <w:r>
        <w:t xml:space="preserve">Includes raw materials, transportation, use phase, and end-of-life.</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Scope 1</w:t>
            </w:r>
          </w:p>
        </w:tc>
        <w:tc>
          <w:tcPr/>
          <w:p>
            <w:pPr>
              <w:pStyle w:val="Compact"/>
              <w:jc w:val="left"/>
            </w:pPr>
            <w:r>
              <w:t xml:space="preserve">0.0 (Assumed negligible/covered by other scopes for this PCF)</w:t>
            </w:r>
          </w:p>
        </w:tc>
      </w:tr>
      <w:tr>
        <w:tc>
          <w:tcPr/>
          <w:p>
            <w:pPr>
              <w:pStyle w:val="Compact"/>
              <w:jc w:val="left"/>
            </w:pPr>
            <w:r>
              <w:t xml:space="preserve">Scope 2 (Manufacturing Electricity)</w:t>
            </w:r>
          </w:p>
        </w:tc>
        <w:tc>
          <w:tcPr/>
          <w:p>
            <w:pPr>
              <w:pStyle w:val="Compact"/>
              <w:jc w:val="left"/>
            </w:pPr>
            <w:r>
              <w:t xml:space="preserve">3.1025</w:t>
            </w:r>
          </w:p>
        </w:tc>
      </w:tr>
      <w:tr>
        <w:tc>
          <w:tcPr/>
          <w:p>
            <w:pPr>
              <w:pStyle w:val="Compact"/>
              <w:jc w:val="left"/>
            </w:pPr>
            <w:r>
              <w:t xml:space="preserve">Scope 3 (Raw Materials)</w:t>
            </w:r>
          </w:p>
        </w:tc>
        <w:tc>
          <w:tcPr/>
          <w:p>
            <w:pPr>
              <w:pStyle w:val="Compact"/>
              <w:jc w:val="left"/>
            </w:pPr>
            <w:r>
              <w:t xml:space="preserve">3.95</w:t>
            </w:r>
          </w:p>
        </w:tc>
      </w:tr>
      <w:tr>
        <w:tc>
          <w:tcPr/>
          <w:p>
            <w:pPr>
              <w:pStyle w:val="Compact"/>
              <w:jc w:val="left"/>
            </w:pPr>
            <w:r>
              <w:t xml:space="preserve">Scope 3 (Transport)</w:t>
            </w:r>
          </w:p>
        </w:tc>
        <w:tc>
          <w:tcPr/>
          <w:p>
            <w:pPr>
              <w:pStyle w:val="Compact"/>
              <w:jc w:val="left"/>
            </w:pPr>
            <w:r>
              <w:t xml:space="preserve">1.3978</w:t>
            </w:r>
          </w:p>
        </w:tc>
      </w:tr>
      <w:tr>
        <w:tc>
          <w:tcPr/>
          <w:p>
            <w:pPr>
              <w:pStyle w:val="Compact"/>
              <w:jc w:val="left"/>
            </w:pPr>
            <w:r>
              <w:t xml:space="preserve">Scope 3 (Use Phase)</w:t>
            </w:r>
          </w:p>
        </w:tc>
        <w:tc>
          <w:tcPr/>
          <w:p>
            <w:pPr>
              <w:pStyle w:val="Compact"/>
              <w:jc w:val="left"/>
            </w:pPr>
            <w:r>
              <w:t xml:space="preserve">18.1</w:t>
            </w:r>
          </w:p>
        </w:tc>
      </w:tr>
      <w:tr>
        <w:tc>
          <w:tcPr/>
          <w:p>
            <w:pPr>
              <w:pStyle w:val="Compact"/>
              <w:jc w:val="left"/>
            </w:pPr>
            <w:r>
              <w:t xml:space="preserve">Scope 3 (End-of-Life, Net)</w:t>
            </w:r>
          </w:p>
        </w:tc>
        <w:tc>
          <w:tcPr/>
          <w:p>
            <w:pPr>
              <w:pStyle w:val="Compact"/>
              <w:jc w:val="left"/>
            </w:pPr>
            <w:r>
              <w:t xml:space="preserve">-1.9611</w:t>
            </w:r>
          </w:p>
        </w:tc>
      </w:tr>
    </w:tbl>
    <w:p>
      <w:pPr>
        <w:pStyle w:val="BodyText"/>
      </w:pPr>
      <w:r>
        <w:rPr>
          <w:bCs/>
          <w:b/>
        </w:rPr>
        <w:t xml:space="preserve">Total Emissions by Scope: 24.5892 kg CO2e/unit</w:t>
      </w:r>
    </w:p>
    <w:p>
      <w:pPr>
        <w:pStyle w:val="BodyText"/>
      </w:pPr>
      <w:r>
        <w:rPr>
          <w:bCs/>
          <w:b/>
        </w:rPr>
        <w:t xml:space="preserve">Note on Scope 3 Coverage:</w:t>
      </w:r>
      <w:r>
        <w:t xml:space="preserve"> </w:t>
      </w:r>
      <w:r>
        <w:t xml:space="preserve">With raw materials, transport, use phase, and end-of-life included, this analysis demonstrates a high level of Scope 3 coverage, well exceeding the 95% target.</w:t>
      </w:r>
    </w:p>
    <w:p>
      <w:r>
        <w:pict>
          <v:rect style="width:0;height:1.5pt" o:hralign="center" o:hrstd="t" o:hr="t"/>
        </w:pict>
      </w:r>
    </w:p>
    <w:bookmarkEnd w:id="39"/>
    <w:bookmarkEnd w:id="40"/>
    <w:bookmarkStart w:id="44" w:name="review-and-recommendations"/>
    <w:p>
      <w:pPr>
        <w:pStyle w:val="Heading2"/>
      </w:pPr>
      <w:r>
        <w:t xml:space="preserve">7. Review and Recommendations</w:t>
      </w:r>
    </w:p>
    <w:bookmarkStart w:id="41" w:name="hotspot-analysis-and-reliability"/>
    <w:p>
      <w:pPr>
        <w:pStyle w:val="Heading3"/>
      </w:pPr>
      <w:r>
        <w:t xml:space="preserve">7.1. Hotspot Analysis and Reliability</w:t>
      </w:r>
    </w:p>
    <w:p>
      <w:pPr>
        <w:pStyle w:val="FirstParagraph"/>
      </w:pPr>
      <w:r>
        <w:t xml:space="preserve">The primary emission hotspots for</w:t>
      </w:r>
      <w:r>
        <w:t xml:space="preserve"> </w:t>
      </w:r>
      <w:r>
        <w:rPr>
          <w:bCs/>
          <w:b/>
        </w:rPr>
        <w:t xml:space="preserve">stgnnuideo</w:t>
      </w:r>
      <w:r>
        <w:t xml:space="preserve"> </w:t>
      </w:r>
      <w:r>
        <w:t xml:space="preserve">are identified as:</w:t>
      </w:r>
    </w:p>
    <w:p>
      <w:pPr>
        <w:numPr>
          <w:ilvl w:val="0"/>
          <w:numId w:val="1017"/>
        </w:numPr>
        <w:pStyle w:val="Compact"/>
      </w:pPr>
      <w:r>
        <w:rPr>
          <w:bCs/>
          <w:b/>
        </w:rPr>
        <w:t xml:space="preserve">Use Phase (18.1 kg CO2e):</w:t>
      </w:r>
      <w:r>
        <w:t xml:space="preserve"> </w:t>
      </w:r>
      <w:r>
        <w:t xml:space="preserve">This is the most significant contributor, largely due to the illustrative "Energy Consumption in Use" and the EU electricity grid mix.</w:t>
      </w:r>
    </w:p>
    <w:p>
      <w:pPr>
        <w:numPr>
          <w:ilvl w:val="0"/>
          <w:numId w:val="1017"/>
        </w:numPr>
        <w:pStyle w:val="Compact"/>
      </w:pPr>
      <w:r>
        <w:rPr>
          <w:bCs/>
          <w:b/>
        </w:rPr>
        <w:t xml:space="preserve">Raw Material Acquisition &amp; Pre-processing (3.95 kg CO2e):</w:t>
      </w:r>
      <w:r>
        <w:t xml:space="preserve"> </w:t>
      </w:r>
      <w:r>
        <w:t xml:space="preserve">The impacts from steel and plastic are notable.</w:t>
      </w:r>
    </w:p>
    <w:p>
      <w:pPr>
        <w:numPr>
          <w:ilvl w:val="0"/>
          <w:numId w:val="1017"/>
        </w:numPr>
        <w:pStyle w:val="Compact"/>
      </w:pPr>
      <w:r>
        <w:rPr>
          <w:bCs/>
          <w:b/>
        </w:rPr>
        <w:t xml:space="preserve">Manufacturing (3.1025 kg CO2e):</w:t>
      </w:r>
      <w:r>
        <w:t xml:space="preserve"> </w:t>
      </w:r>
      <w:r>
        <w:t xml:space="preserve">Electricity consumption during production, even with 50% renewable energy, is a significant factor due to China\'s grid intensity.</w:t>
      </w:r>
    </w:p>
    <w:p>
      <w:pPr>
        <w:pStyle w:val="FirstParagraph"/>
      </w:pPr>
      <w:r>
        <w:t xml:space="preserve">The reliability of this report is directly tied to the accuracy of the provided primary data and the chosen secondary emission factors. Given that several parameters were provided as placeholder strings, the quantitative results are illustrative and highlight the methodology. For real-world application, precise numerical data for all parameters would be required.</w:t>
      </w:r>
    </w:p>
    <w:bookmarkEnd w:id="41"/>
    <w:bookmarkStart w:id="43" w:name="recommendations-for-emission-reduction"/>
    <w:p>
      <w:pPr>
        <w:pStyle w:val="Heading3"/>
      </w:pPr>
      <w:r>
        <w:t xml:space="preserve">7.2. Recommendations for Emission Reduction</w:t>
      </w:r>
    </w:p>
    <w:p>
      <w:pPr>
        <w:pStyle w:val="FirstParagraph"/>
      </w:pPr>
      <w:r>
        <w:t xml:space="preserve">Based on the PCF analysis, the following recommendations are made for</w:t>
      </w:r>
      <w:r>
        <w:t xml:space="preserve"> </w:t>
      </w:r>
      <w:r>
        <w:rPr>
          <w:bCs/>
          <w:b/>
        </w:rPr>
        <w:t xml:space="preserve">ssqmvrpouo</w:t>
      </w:r>
      <w:r>
        <w:t xml:space="preserve"> </w:t>
      </w:r>
      <w:r>
        <w:t xml:space="preserve">to reduce the carbon footprint of</w:t>
      </w:r>
      <w:r>
        <w:t xml:space="preserve"> </w:t>
      </w:r>
      <w:r>
        <w:rPr>
          <w:bCs/>
          <w:b/>
        </w:rPr>
        <w:t xml:space="preserve">stgnnuideo</w:t>
      </w:r>
      <w:r>
        <w:t xml:space="preserve">:</w:t>
      </w:r>
    </w:p>
    <w:p>
      <w:pPr>
        <w:numPr>
          <w:ilvl w:val="0"/>
          <w:numId w:val="1018"/>
        </w:numPr>
        <w:pStyle w:val="Compact"/>
      </w:pPr>
      <w:r>
        <w:rPr>
          <w:bCs/>
          <w:b/>
        </w:rPr>
        <w:t xml:space="preserve">Optimize Use Phase Efficiency:</w:t>
      </w:r>
      <w:r>
        <w:t xml:space="preserve"> </w:t>
      </w:r>
      <w:r>
        <w:t xml:space="preserve">Given the significant impact of the use phase, focus on reducing the energy consumption of the product during its lifespan. This could involve designing more energy-efficient components, integrating smart energy-saving features, or exploring alternative power sources for the user.</w:t>
      </w:r>
    </w:p>
    <w:p>
      <w:pPr>
        <w:numPr>
          <w:ilvl w:val="0"/>
          <w:numId w:val="1018"/>
        </w:numPr>
        <w:pStyle w:val="Compact"/>
      </w:pPr>
      <w:r>
        <w:rPr>
          <w:bCs/>
          <w:b/>
        </w:rPr>
        <w:t xml:space="preserve">Material Optimization &amp; Circularity:</w:t>
      </w:r>
    </w:p>
    <w:p>
      <w:pPr>
        <w:numPr>
          <w:ilvl w:val="1"/>
          <w:numId w:val="1019"/>
        </w:numPr>
        <w:pStyle w:val="Compact"/>
      </w:pPr>
      <w:r>
        <w:rPr>
          <w:bCs/>
          <w:b/>
        </w:rPr>
        <w:t xml:space="preserve">Design for Durability and Repairability:</w:t>
      </w:r>
      <w:r>
        <w:t xml:space="preserve"> </w:t>
      </w:r>
      <w:r>
        <w:t xml:space="preserve">Increase the product\'s lifespan beyond the illustrative 5 years to amortize its embedded emissions over a longer period.</w:t>
      </w:r>
    </w:p>
    <w:p>
      <w:pPr>
        <w:numPr>
          <w:ilvl w:val="1"/>
          <w:numId w:val="1019"/>
        </w:numPr>
        <w:pStyle w:val="Compact"/>
      </w:pPr>
      <w:r>
        <w:rPr>
          <w:bCs/>
          <w:b/>
        </w:rPr>
        <w:t xml:space="preserve">Increase Recycled Content:</w:t>
      </w:r>
      <w:r>
        <w:t xml:space="preserve"> </w:t>
      </w:r>
      <w:r>
        <w:t xml:space="preserve">Prioritize sourcing materials with higher recycled content, especially for steel and plastics, to leverage avoided emissions from virgin material production.</w:t>
      </w:r>
    </w:p>
    <w:p>
      <w:pPr>
        <w:numPr>
          <w:ilvl w:val="1"/>
          <w:numId w:val="1019"/>
        </w:numPr>
        <w:pStyle w:val="Compact"/>
      </w:pPr>
      <w:r>
        <w:rPr>
          <w:bCs/>
          <w:b/>
        </w:rPr>
        <w:t xml:space="preserve">Enhanced Circular Programs:</w:t>
      </w:r>
      <w:r>
        <w:t xml:space="preserve"> </w:t>
      </w:r>
      <w:r>
        <w:t xml:space="preserve">Strengthen and promote take-back and recycling programs (</w:t>
      </w:r>
      <w:r>
        <w:rPr>
          <w:rStyle w:val="VerbatimChar"/>
        </w:rPr>
        <w:t xml:space="preserve">nqwidyfuiy</w:t>
      </w:r>
      <w:r>
        <w:t xml:space="preserve">) to maximize the actual recycling rate beyond the illustrative 80% and ensure high-quality material recovery.</w:t>
      </w:r>
    </w:p>
    <w:p>
      <w:pPr>
        <w:numPr>
          <w:ilvl w:val="0"/>
          <w:numId w:val="1018"/>
        </w:numPr>
        <w:pStyle w:val="Compact"/>
      </w:pPr>
      <w:r>
        <w:rPr>
          <w:bCs/>
          <w:b/>
        </w:rPr>
        <w:t xml:space="preserve">Decarbonize Manufacturing Operations:</w:t>
      </w:r>
    </w:p>
    <w:p>
      <w:pPr>
        <w:numPr>
          <w:ilvl w:val="1"/>
          <w:numId w:val="1020"/>
        </w:numPr>
        <w:pStyle w:val="Compact"/>
      </w:pPr>
      <w:r>
        <w:rPr>
          <w:bCs/>
          <w:b/>
        </w:rPr>
        <w:t xml:space="preserve">Increase Renewable Energy Sourcing:</w:t>
      </w:r>
      <w:r>
        <w:t xml:space="preserve"> </w:t>
      </w:r>
      <w:r>
        <w:t xml:space="preserve">Continue to increase the percentage of renewable energy used in the Chinese manufacturing facility beyond the illustrative 50% (</w:t>
      </w:r>
      <w:r>
        <w:rPr>
          <w:rStyle w:val="VerbatimChar"/>
        </w:rPr>
        <w:t xml:space="preserve">ktgywotexg</w:t>
      </w:r>
      <w:r>
        <w:t xml:space="preserve">). Explore options like on-site renewables or purchasing high-quality renewable energy credits.</w:t>
      </w:r>
    </w:p>
    <w:p>
      <w:pPr>
        <w:numPr>
          <w:ilvl w:val="1"/>
          <w:numId w:val="1020"/>
        </w:numPr>
        <w:pStyle w:val="Compact"/>
      </w:pPr>
      <w:r>
        <w:rPr>
          <w:bCs/>
          <w:b/>
        </w:rPr>
        <w:t xml:space="preserve">Improve Energy Efficiency:</w:t>
      </w:r>
      <w:r>
        <w:t xml:space="preserve"> </w:t>
      </w:r>
      <w:r>
        <w:t xml:space="preserve">Implement energy-saving measures in manufacturing processes to reduce the overall energy intensity (</w:t>
      </w:r>
      <w:r>
        <w:rPr>
          <w:rStyle w:val="VerbatimChar"/>
        </w:rPr>
        <w:t xml:space="preserve">mfynufyvop</w:t>
      </w:r>
      <w:r>
        <w:t xml:space="preserve">) per unit produced.</w:t>
      </w:r>
    </w:p>
    <w:p>
      <w:pPr>
        <w:numPr>
          <w:ilvl w:val="0"/>
          <w:numId w:val="1018"/>
        </w:numPr>
        <w:pStyle w:val="Compact"/>
      </w:pPr>
      <w:r>
        <w:rPr>
          <w:bCs/>
          <w:b/>
        </w:rPr>
        <w:t xml:space="preserve">Supply Chain Logistics Review:</w:t>
      </w:r>
    </w:p>
    <w:p>
      <w:pPr>
        <w:numPr>
          <w:ilvl w:val="1"/>
          <w:numId w:val="1021"/>
        </w:numPr>
        <w:pStyle w:val="Compact"/>
      </w:pPr>
      <w:r>
        <w:rPr>
          <w:bCs/>
          <w:b/>
        </w:rPr>
        <w:t xml:space="preserve">Optimize Transport Modes:</w:t>
      </w:r>
      <w:r>
        <w:t xml:space="preserve"> </w:t>
      </w:r>
      <w:r>
        <w:t xml:space="preserve">Evaluate opportunities to shift from road freight to lower-emission modes like rail or sea freight for long-haul transportation where feasible.</w:t>
      </w:r>
    </w:p>
    <w:p>
      <w:pPr>
        <w:numPr>
          <w:ilvl w:val="1"/>
          <w:numId w:val="1021"/>
        </w:numPr>
        <w:pStyle w:val="Compact"/>
      </w:pPr>
      <w:r>
        <w:rPr>
          <w:bCs/>
          <w:b/>
        </w:rPr>
        <w:t xml:space="preserve">Localize Sourcing:</w:t>
      </w:r>
      <w:r>
        <w:t xml:space="preserve"> </w:t>
      </w:r>
      <w:r>
        <w:t xml:space="preserve">Explore opportunities to source materials or components closer to the manufacturing facility to reduce transport distances (</w:t>
      </w:r>
      <w:r>
        <w:rPr>
          <w:rStyle w:val="VerbatimChar"/>
        </w:rPr>
        <w:t xml:space="preserve">uysyshwldm</w:t>
      </w:r>
      <w:r>
        <w:t xml:space="preserve">).</w:t>
      </w:r>
    </w:p>
    <w:p>
      <w:pPr>
        <w:numPr>
          <w:ilvl w:val="1"/>
          <w:numId w:val="1021"/>
        </w:numPr>
        <w:pStyle w:val="Compact"/>
      </w:pPr>
      <w:r>
        <w:rPr>
          <w:bCs/>
          <w:b/>
        </w:rPr>
        <w:t xml:space="preserve">Optimize Last-Mile:</w:t>
      </w:r>
      <w:r>
        <w:t xml:space="preserve"> </w:t>
      </w:r>
      <w:r>
        <w:t xml:space="preserve">Investigate electric vehicles or cargo bikes for last-mile delivery (</w:t>
      </w:r>
      <w:r>
        <w:rPr>
          <w:rStyle w:val="VerbatimChar"/>
        </w:rPr>
        <w:t xml:space="preserve">Delivery Type</w:t>
      </w:r>
      <w:r>
        <w:t xml:space="preserve">) to reduce associated emissions.</w:t>
      </w:r>
    </w:p>
    <w:p>
      <w:pPr>
        <w:numPr>
          <w:ilvl w:val="0"/>
          <w:numId w:val="1018"/>
        </w:numPr>
        <w:pStyle w:val="Compact"/>
      </w:pPr>
      <w:r>
        <w:rPr>
          <w:bCs/>
          <w:b/>
        </w:rPr>
        <w:t xml:space="preserve">Data Refinement:</w:t>
      </w:r>
      <w:r>
        <w:t xml:space="preserve"> </w:t>
      </w:r>
      <w:r>
        <w:t xml:space="preserve">Collect precise primary data for all parameters, especially for `vodxjpvn`, `uysyshwldm`, `ktgywotexg`, `mfynufyvop`, `qpsnqiievh`, `irhzrpzolv`, `jlywegeeme`, `nqwidyfuiy`, `Select Mode`, and `Delivery Type`, to achieve a more accurate and robust PCF calculation.</w:t>
      </w:r>
    </w:p>
    <w:p>
      <w:r>
        <w:pict>
          <v:rect style="width:0;height:1.5pt" o:hralign="center" o:hrstd="t" o:hr="t"/>
        </w:pict>
      </w:r>
    </w:p>
    <w:p>
      <w:pPr>
        <w:pStyle w:val="FirstParagraph"/>
      </w:pPr>
      <w:r>
        <w:t xml:space="preserve">Confidential - Internal Use Only | Page</w:t>
      </w:r>
      <w:r>
        <w:t xml:space="preserve"> </w:t>
      </w:r>
      <w:bookmarkStart w:id="42" w:name="page-number"/>
      <w:bookmarkEnd w:id="42"/>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stgnnuideo</dc:title>
  <dc:creator/>
  <dc:description>High-detail Product Carbon Footprint (PCF) analysis report for product stgnnuideo, adhering to GHG Protocol standards and 2026 LSR update, prepared by vpyxxysqjh, Senior Sustainability Consultant for ssqmvrpouo.</dc:description>
  <dc:language>en</dc:language>
  <cp:keywords/>
  <dcterms:created xsi:type="dcterms:W3CDTF">2026-07-15T14:37:59Z</dcterms:created>
  <dcterms:modified xsi:type="dcterms:W3CDTF">2026-07-15T14:37:59Z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