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stegwzrrqg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stegwzrrqg</w:t>
      </w:r>
    </w:p>
    <w:p>
      <w:pPr>
        <w:pStyle w:val="BodyText"/>
      </w:pPr>
      <w:r>
        <w:rPr>
          <w:bCs/>
          <w:b/>
        </w:rPr>
        <w:t xml:space="preserve">Company Name:</w:t>
      </w:r>
      <w:r>
        <w:t xml:space="preserve"> </w:t>
      </w:r>
      <w:r>
        <w:t xml:space="preserve">tnqzqwoxyu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izrjzdzlkm</w:t>
      </w:r>
    </w:p>
    <w:p>
      <w:pPr>
        <w:pStyle w:val="BodyText"/>
      </w:pPr>
      <w:r>
        <w:t xml:space="preserve">This report is generated based on available data, industry-standard emission factors, and the specific parameters provided. While every effort has been made to ensure accuracy and adherence to the GHG Protocol, results are indicative and subject to the quality and completeness of underlying data.</w:t>
      </w:r>
    </w:p>
    <w:p>
      <w:pPr>
        <w:pStyle w:val="BodyText"/>
      </w:pPr>
      <w:r>
        <w:t xml:space="preserve">Date: June 2, 2026</w:t>
      </w:r>
    </w:p>
    <w:bookmarkEnd w:id="20"/>
    <w:bookmarkStart w:id="46" w:name="X69d09fc1609b07584b718c53391dff72fa86c3f"/>
    <w:p>
      <w:pPr>
        <w:pStyle w:val="Heading1"/>
      </w:pPr>
      <w:r>
        <w:t xml:space="preserve">Product Carbon Footprint Report for stegwzrrqg</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"stegwzrrqg", manufactured by "tnqzqwoxyu". Conducted by Senior Sustainability Consultant izrjzdzlkm, this analysis adheres to the Greenhouse Gas (GHG) Protocol standards, including the 2026 Land Sector and Removals (LSR) update, and aims for at least 95% coverage for Scope 3 emissions. The total cradle-to-grave carbon footprint for one functional unit of stegwzrrqg is calculated to be **8.58 kg CO2e**, with the use phase identified as the primary hotspot.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first step in calculating the Product Carbon Footprint (PCF) for stegwzrrqg involves clearly defining the scope of the analysis in accordance with the GHG Protocol Product Standard.</w:t>
      </w:r>
    </w:p>
    <w:p>
      <w:pPr>
        <w:numPr>
          <w:ilvl w:val="0"/>
          <w:numId w:val="1001"/>
        </w:numPr>
        <w:pStyle w:val="Compact"/>
      </w:pPr>
      <w:r>
        <w:rPr>
          <w:bCs/>
          <w:b/>
        </w:rPr>
        <w:t xml:space="preserve">Functional Unit:</w:t>
      </w:r>
      <w:r>
        <w:t xml:space="preserve"> </w:t>
      </w:r>
      <w:r>
        <w:t xml:space="preserve">The functional unit for this PCF analysis is defined as **1.0 unit** of stegwzrrqg.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While the primary operational control boundary for tnqzqwoxyu is "factory_gate", this PCF analysis adopts a comprehensive **cradle-to-grave** approach to encompass all significant lifecycle stages of the product. This includes material acquisition, manufacturing, transport, use, and end-of-life, as indicated by the detailed parameters provided. This broader scope ensures a holistic understanding of the product\'s environmental impact throughout its entire lifespan.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1"/>
          <w:numId w:val="1002"/>
        </w:numPr>
        <w:pStyle w:val="Compact"/>
      </w:pPr>
      <w:r>
        <w:rPr>
          <w:bCs/>
          <w:b/>
        </w:rPr>
        <w:t xml:space="preserve">Use Phase &amp; End-of-Life:</w:t>
      </w:r>
      <w:r>
        <w:t xml:space="preserve"> </w:t>
      </w:r>
      <w:r>
        <w:t xml:space="preserve">Assumed to be primarily within Europe, aligning with the supply chain focus for downstream impacts.</w:t>
      </w:r>
    </w:p>
    <w:p>
      <w:pPr>
        <w:numPr>
          <w:ilvl w:val="0"/>
          <w:numId w:val="1001"/>
        </w:numPr>
        <w:pStyle w:val="Compact"/>
      </w:pPr>
      <w:r>
        <w:rPr>
          <w:bCs/>
          <w:b/>
        </w:rPr>
        <w:t xml:space="preserve">Accounting Standard:</w:t>
      </w:r>
      <w:r>
        <w:t xml:space="preserve"> </w:t>
      </w:r>
      <w:r>
        <w:t xml:space="preserve">This assessment is strictly performed following the principles and requirements of the **GHG Protocol Product Life Cycle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to the functional unit based on direct mass and energy consumption where primary data is available. For shared processes or utilities, allocation is based on physical causality or economic value where appropriate, consistent with GHG Protocol guidance.</w:t>
      </w:r>
    </w:p>
    <w:p>
      <w:r>
        <w:pict>
          <v:rect style="width:0;height:1.5pt" o:hralign="center" o:hrstd="t" o:hr="t"/>
        </w:pict>
      </w:r>
    </w:p>
    <w:bookmarkEnd w:id="22"/>
    <w:bookmarkStart w:id="30" w:name="lifecycle-mapping-and-data-collection"/>
    <w:p>
      <w:pPr>
        <w:pStyle w:val="Heading2"/>
      </w:pPr>
      <w:r>
        <w:t xml:space="preserve">2. &amp; 3. Lifecycle Mapping and Data Collection</w:t>
      </w:r>
    </w:p>
    <w:p>
      <w:pPr>
        <w:pStyle w:val="FirstParagraph"/>
      </w:pPr>
      <w:r>
        <w:t xml:space="preserve">The lifecycle of stegwzrrqg is mapped across five key stages, and relevant primary and secondary data points are collected for each stage.</w:t>
      </w:r>
    </w:p>
    <w:bookmarkStart w:id="23" w:name="lifecycle-stages"/>
    <w:p>
      <w:pPr>
        <w:pStyle w:val="Heading3"/>
      </w:pPr>
      <w:r>
        <w:t xml:space="preserve">2.1. Lifecycle Stages</w:t>
      </w:r>
    </w:p>
    <w:p>
      <w:pPr>
        <w:numPr>
          <w:ilvl w:val="0"/>
          <w:numId w:val="1003"/>
        </w:numPr>
        <w:pStyle w:val="Compact"/>
      </w:pPr>
      <w:r>
        <w:rPr>
          <w:bCs/>
          <w:b/>
        </w:rPr>
        <w:t xml:space="preserve">Materials Acquisition &amp; Pre-processing (Upstream):</w:t>
      </w:r>
      <w:r>
        <w:t xml:space="preserve"> </w:t>
      </w:r>
      <w:r>
        <w:t xml:space="preserve">This stage includes the extraction of raw materials, their processing into intermediate components, and the manufacturing of sub-assemblies. This falls under Scope 3, Category 1 (Purchased goods and services).</w:t>
      </w:r>
    </w:p>
    <w:p>
      <w:pPr>
        <w:numPr>
          <w:ilvl w:val="0"/>
          <w:numId w:val="1003"/>
        </w:numPr>
        <w:pStyle w:val="Compact"/>
      </w:pPr>
      <w:r>
        <w:rPr>
          <w:bCs/>
          <w:b/>
        </w:rPr>
        <w:t xml:space="preserve">Production (Core - Factory Gate):</w:t>
      </w:r>
      <w:r>
        <w:t xml:space="preserve"> </w:t>
      </w:r>
      <w:r>
        <w:t xml:space="preserve">This covers the manufacturing processes at tnqzqwoxyu\'s facility in China, including energy consumption, direct emissions, and waste generation. This typically includes Scope 1 and Scope 2 emissions for the company\'s operations, and Scope 3 for waste generated.</w:t>
      </w:r>
    </w:p>
    <w:p>
      <w:pPr>
        <w:numPr>
          <w:ilvl w:val="0"/>
          <w:numId w:val="1003"/>
        </w:numPr>
        <w:pStyle w:val="Compact"/>
      </w:pPr>
      <w:r>
        <w:rPr>
          <w:bCs/>
          <w:b/>
        </w:rPr>
        <w:t xml:space="preserve">Transport (Distribution):</w:t>
      </w:r>
      <w:r>
        <w:t xml:space="preserve"> </w:t>
      </w:r>
      <w:r>
        <w:t xml:space="preserve">Encompasses the transportation of the finished product from the factory gate to the customer, including main and last-mile delivery. This falls under Scope 3, Category 4 (Upstream transportation and distribution) and Scope 3, Category 9 (Downstream transportation and distribution).</w:t>
      </w:r>
    </w:p>
    <w:p>
      <w:pPr>
        <w:numPr>
          <w:ilvl w:val="0"/>
          <w:numId w:val="1003"/>
        </w:numPr>
        <w:pStyle w:val="Compact"/>
      </w:pPr>
      <w:r>
        <w:rPr>
          <w:bCs/>
          <w:b/>
        </w:rPr>
        <w:t xml:space="preserve">Use Phase:</w:t>
      </w:r>
      <w:r>
        <w:t xml:space="preserve"> </w:t>
      </w:r>
      <w:r>
        <w:t xml:space="preserve">This stage accounts for the energy consumption and other impacts associated with the product\'s intended use over its lifespan. This falls under Scope 3, Category 11 (Use of sold products).</w:t>
      </w:r>
    </w:p>
    <w:p>
      <w:pPr>
        <w:numPr>
          <w:ilvl w:val="0"/>
          <w:numId w:val="1003"/>
        </w:numPr>
        <w:pStyle w:val="Compact"/>
      </w:pPr>
      <w:r>
        <w:rPr>
          <w:bCs/>
          <w:b/>
        </w:rPr>
        <w:t xml:space="preserve">End-of-Life (EoL):</w:t>
      </w:r>
      <w:r>
        <w:t xml:space="preserve"> </w:t>
      </w:r>
      <w:r>
        <w:t xml:space="preserve">Addresses the disposal, recycling, or recovery of the product and its components at the end of its functional life. This falls under Scope 3, Category 12 (End-of-life treatment of sold products).</w:t>
      </w:r>
    </w:p>
    <w:bookmarkEnd w:id="23"/>
    <w:bookmarkStart w:id="29" w:name="data-collection"/>
    <w:p>
      <w:pPr>
        <w:pStyle w:val="Heading3"/>
      </w:pPr>
      <w:r>
        <w:t xml:space="preserve">2.2. Data Collection</w:t>
      </w:r>
    </w:p>
    <w:p>
      <w:pPr>
        <w:pStyle w:val="FirstParagraph"/>
      </w:pPr>
      <w:r>
        <w:t xml:space="preserve">The following specific data points were used for this analysis:</w:t>
      </w:r>
    </w:p>
    <w:bookmarkStart w:id="24" w:name="X10410e288a3658074621b57644b98ee8656661f"/>
    <w:p>
      <w:pPr>
        <w:pStyle w:val="Heading4"/>
      </w:pPr>
      <w:r>
        <w:t xml:space="preserve">Detailed Bill of Materials (BOM) - slpkrfxn (Scope 3 - Upstream)</w:t>
      </w:r>
    </w:p>
    <w:p>
      <w:pPr>
        <w:pStyle w:val="FirstParagraph"/>
      </w:pPr>
      <w:r>
        <w:t xml:space="preserve">The provided Detailed Bill of Materials (BOM) is crucial for an accurate assessment of material impacts. The data is parsed as follows, with \'Total Carbon\' values used directly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bl>
    <w:p>
      <w:pPr>
        <w:pStyle w:val="BodyText"/>
      </w:pPr>
      <w:r>
        <w:rPr>
          <w:bCs/>
          <w:b/>
        </w:rPr>
        <w:t xml:space="preserve">Total Carbon from Materials Acquisition: 2.90 kg CO2e</w:t>
      </w:r>
    </w:p>
    <w:bookmarkEnd w:id="24"/>
    <w:bookmarkStart w:id="25" w:name="energy-inputs-production-phase"/>
    <w:p>
      <w:pPr>
        <w:pStyle w:val="Heading4"/>
      </w:pPr>
      <w:r>
        <w:t xml:space="preserve">Energy Inputs (Production Phase)</w:t>
      </w:r>
    </w:p>
    <w:p>
      <w:pPr>
        <w:numPr>
          <w:ilvl w:val="0"/>
          <w:numId w:val="1004"/>
        </w:numPr>
        <w:pStyle w:val="Compact"/>
      </w:pPr>
      <w:r>
        <w:rPr>
          <w:bCs/>
          <w:b/>
        </w:rPr>
        <w:t xml:space="preserve">Energy Intensity (kWh/unit):</w:t>
      </w:r>
      <w:r>
        <w:t xml:space="preserve"> </w:t>
      </w:r>
      <w:r>
        <w:t xml:space="preserve">tjdqpyfwie = 0.2 kWh/unit</w:t>
      </w:r>
    </w:p>
    <w:p>
      <w:pPr>
        <w:numPr>
          <w:ilvl w:val="0"/>
          <w:numId w:val="1004"/>
        </w:numPr>
        <w:pStyle w:val="Compact"/>
      </w:pPr>
      <w:r>
        <w:rPr>
          <w:bCs/>
          <w:b/>
        </w:rPr>
        <w:t xml:space="preserve">Renewable Energy Usage:</w:t>
      </w:r>
      <w:r>
        <w:t xml:space="preserve"> </w:t>
      </w:r>
      <w:r>
        <w:t xml:space="preserve">dxjkmogpqk = 50%</w:t>
      </w:r>
    </w:p>
    <w:p>
      <w:pPr>
        <w:numPr>
          <w:ilvl w:val="0"/>
          <w:numId w:val="1004"/>
        </w:numPr>
        <w:pStyle w:val="Compact"/>
      </w:pPr>
      <w:r>
        <w:rPr>
          <w:bCs/>
          <w:b/>
        </w:rPr>
        <w:t xml:space="preserve">Final Production Country Grid Emission Factor (China):</w:t>
      </w:r>
      <w:r>
        <w:t xml:space="preserve"> </w:t>
      </w:r>
      <w:r>
        <w:t xml:space="preserve">0.6205 kg CO2e/kWh (2023 national average)</w:t>
      </w:r>
    </w:p>
    <w:bookmarkEnd w:id="25"/>
    <w:bookmarkStart w:id="26" w:name="logistics-data-transport-phase"/>
    <w:p>
      <w:pPr>
        <w:pStyle w:val="Heading4"/>
      </w:pPr>
      <w:r>
        <w:t xml:space="preserve">Logistics Data (Transport Phase)</w:t>
      </w:r>
    </w:p>
    <w:p>
      <w:pPr>
        <w:numPr>
          <w:ilvl w:val="0"/>
          <w:numId w:val="1005"/>
        </w:numPr>
        <w:pStyle w:val="Compact"/>
      </w:pPr>
      <w:r>
        <w:rPr>
          <w:bCs/>
          <w:b/>
        </w:rPr>
        <w:t xml:space="preserve">Assumed Product Weight:</w:t>
      </w:r>
      <w:r>
        <w:t xml:space="preserve"> </w:t>
      </w:r>
      <w:r>
        <w:t xml:space="preserve">1.0 kg per functional unit (for transport calculations)</w:t>
      </w:r>
    </w:p>
    <w:p>
      <w:pPr>
        <w:numPr>
          <w:ilvl w:val="0"/>
          <w:numId w:val="1005"/>
        </w:numPr>
        <w:pStyle w:val="Compact"/>
      </w:pPr>
      <w:r>
        <w:rPr>
          <w:bCs/>
          <w:b/>
        </w:rPr>
        <w:t xml:space="preserve">Main Transport Mode:</w:t>
      </w:r>
      <w:r>
        <w:t xml:space="preserve"> </w:t>
      </w:r>
      <w:r>
        <w:t xml:space="preserve">Select Mode = Sea Freight</w:t>
      </w:r>
    </w:p>
    <w:p>
      <w:pPr>
        <w:numPr>
          <w:ilvl w:val="0"/>
          <w:numId w:val="1005"/>
        </w:numPr>
        <w:pStyle w:val="Compact"/>
      </w:pPr>
      <w:r>
        <w:rPr>
          <w:bCs/>
          <w:b/>
        </w:rPr>
        <w:t xml:space="preserve">Main Transport Distance:</w:t>
      </w:r>
      <w:r>
        <w:t xml:space="preserve"> </w:t>
      </w:r>
      <w:r>
        <w:t xml:space="preserve">mgkmtgsdxm = 10,000 km</w:t>
      </w:r>
    </w:p>
    <w:p>
      <w:pPr>
        <w:numPr>
          <w:ilvl w:val="0"/>
          <w:numId w:val="1005"/>
        </w:numPr>
        <w:pStyle w:val="Compact"/>
      </w:pPr>
      <w:r>
        <w:rPr>
          <w:bCs/>
          <w:b/>
        </w:rPr>
        <w:t xml:space="preserve">Last-Mile Delivery Channel:</w:t>
      </w:r>
      <w:r>
        <w:t xml:space="preserve"> </w:t>
      </w:r>
      <w:r>
        <w:t xml:space="preserve">Delivery Type = Road Freight (Heavy Goods Vehicle - HGV)</w:t>
      </w:r>
    </w:p>
    <w:p>
      <w:pPr>
        <w:numPr>
          <w:ilvl w:val="0"/>
          <w:numId w:val="1005"/>
        </w:numPr>
        <w:pStyle w:val="Compact"/>
      </w:pPr>
      <w:r>
        <w:rPr>
          <w:bCs/>
          <w:b/>
        </w:rPr>
        <w:t xml:space="preserve">Assumed Last-Mile Distance:</w:t>
      </w:r>
      <w:r>
        <w:t xml:space="preserve"> </w:t>
      </w:r>
      <w:r>
        <w:t xml:space="preserve">500 km</w:t>
      </w:r>
    </w:p>
    <w:p>
      <w:pPr>
        <w:numPr>
          <w:ilvl w:val="0"/>
          <w:numId w:val="1005"/>
        </w:numPr>
        <w:pStyle w:val="Compact"/>
      </w:pPr>
      <w:r>
        <w:rPr>
          <w:bCs/>
          <w:b/>
        </w:rPr>
        <w:t xml:space="preserve">Sea Freight Emission Factor:</w:t>
      </w:r>
      <w:r>
        <w:t xml:space="preserve"> </w:t>
      </w:r>
      <w:r>
        <w:t xml:space="preserve">0.016 kg CO2e/tkm (container ship average)</w:t>
      </w:r>
    </w:p>
    <w:p>
      <w:pPr>
        <w:numPr>
          <w:ilvl w:val="0"/>
          <w:numId w:val="1005"/>
        </w:numPr>
        <w:pStyle w:val="Compact"/>
      </w:pPr>
      <w:r>
        <w:rPr>
          <w:bCs/>
          <w:b/>
        </w:rPr>
        <w:t xml:space="preserve">Road Freight (HGV) Emission Factor:</w:t>
      </w:r>
      <w:r>
        <w:t xml:space="preserve"> </w:t>
      </w:r>
      <w:r>
        <w:t xml:space="preserve">0.1 kg CO2e/tkm (average of 50-150 g/tkm range)</w:t>
      </w:r>
    </w:p>
    <w:bookmarkEnd w:id="26"/>
    <w:bookmarkStart w:id="27"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vssywjehii = 5 years (1825 days)</w:t>
      </w:r>
    </w:p>
    <w:p>
      <w:pPr>
        <w:numPr>
          <w:ilvl w:val="0"/>
          <w:numId w:val="1006"/>
        </w:numPr>
        <w:pStyle w:val="Compact"/>
      </w:pPr>
      <w:r>
        <w:rPr>
          <w:bCs/>
          <w:b/>
        </w:rPr>
        <w:t xml:space="preserve">Energy Consumption in Use:</w:t>
      </w:r>
      <w:r>
        <w:t xml:space="preserve"> </w:t>
      </w:r>
      <w:r>
        <w:t xml:space="preserve">xnwglsvoxg = 0.01 kWh/day</w:t>
      </w:r>
    </w:p>
    <w:p>
      <w:pPr>
        <w:numPr>
          <w:ilvl w:val="0"/>
          <w:numId w:val="1006"/>
        </w:numPr>
        <w:pStyle w:val="Compact"/>
      </w:pPr>
      <w:r>
        <w:rPr>
          <w:bCs/>
          <w:b/>
        </w:rPr>
        <w:t xml:space="preserve">Europe Grid Emission Factor (for Use Phase):</w:t>
      </w:r>
      <w:r>
        <w:t xml:space="preserve"> </w:t>
      </w:r>
      <w:r>
        <w:t xml:space="preserve">0.2883 kg CO2e/kWh (EU-27 average 2021)</w:t>
      </w:r>
    </w:p>
    <w:bookmarkEnd w:id="27"/>
    <w:bookmarkStart w:id="28" w:name="end-of-life-eol-data"/>
    <w:p>
      <w:pPr>
        <w:pStyle w:val="Heading4"/>
      </w:pPr>
      <w:r>
        <w:t xml:space="preserve">End-of-Life (EoL) Data</w:t>
      </w:r>
    </w:p>
    <w:p>
      <w:pPr>
        <w:numPr>
          <w:ilvl w:val="0"/>
          <w:numId w:val="1007"/>
        </w:numPr>
        <w:pStyle w:val="Compact"/>
      </w:pPr>
      <w:r>
        <w:rPr>
          <w:bCs/>
          <w:b/>
        </w:rPr>
        <w:t xml:space="preserve">Recyclability Percentage:</w:t>
      </w:r>
      <w:r>
        <w:t xml:space="preserve"> </w:t>
      </w:r>
      <w:r>
        <w:t xml:space="preserve">mlxtxykxyj = 70%</w:t>
      </w:r>
    </w:p>
    <w:p>
      <w:pPr>
        <w:numPr>
          <w:ilvl w:val="0"/>
          <w:numId w:val="1007"/>
        </w:numPr>
        <w:pStyle w:val="Compact"/>
      </w:pPr>
      <w:r>
        <w:rPr>
          <w:bCs/>
          <w:b/>
        </w:rPr>
        <w:t xml:space="preserve">Circular/Take-back Programs:</w:t>
      </w:r>
      <w:r>
        <w:t xml:space="preserve"> </w:t>
      </w:r>
      <w:r>
        <w:t xml:space="preserve">exjeyddwpm (acknowledged as a positive initiative to promote circularity)</w:t>
      </w:r>
    </w:p>
    <w:p>
      <w:pPr>
        <w:numPr>
          <w:ilvl w:val="0"/>
          <w:numId w:val="1007"/>
        </w:numPr>
        <w:pStyle w:val="Compact"/>
      </w:pPr>
      <w:r>
        <w:rPr>
          <w:bCs/>
          <w:b/>
        </w:rPr>
        <w:t xml:space="preserve">Landfill Mixed Waste Emission Factor:</w:t>
      </w:r>
      <w:r>
        <w:t xml:space="preserve"> </w:t>
      </w:r>
      <w:r>
        <w:t xml:space="preserve">0.50 kg CO2e/kg (UK government average for household/C&amp;I waste)</w:t>
      </w:r>
    </w:p>
    <w:p>
      <w:r>
        <w:pict>
          <v:rect style="width:0;height:1.5pt" o:hralign="center" o:hrstd="t" o:hr="t"/>
        </w:pict>
      </w:r>
    </w:p>
    <w:bookmarkEnd w:id="28"/>
    <w:bookmarkEnd w:id="29"/>
    <w:bookmarkEnd w:id="30"/>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p>
    <w:bookmarkStart w:id="31" w:name="scope-1-emissions-direct-emissions"/>
    <w:p>
      <w:pPr>
        <w:pStyle w:val="Heading3"/>
      </w:pPr>
      <w:r>
        <w:t xml:space="preserve">4.1. Scope 1 Emissions (Direct Emissions)</w:t>
      </w:r>
    </w:p>
    <w:p>
      <w:pPr>
        <w:pStyle w:val="FirstParagraph"/>
      </w:pPr>
      <w:r>
        <w:t xml:space="preserve">For the manufacturing of stegwzrrqg, direct emissions from company-owned or controlled sources (e.g., fuel combustion in company vehicles or facilities) are assumed to be negligible or covered within the upstream material emission factors if process-specific. Without explicit data on direct fuel consumption or chemical processes at the tnqzqwoxyu facility, Scope 1 emissions for the production of one unit of stegwzrrqg are considered</w:t>
      </w:r>
      <w:r>
        <w:t xml:space="preserve"> </w:t>
      </w:r>
      <w:r>
        <w:rPr>
          <w:bCs/>
          <w:b/>
        </w:rPr>
        <w:t xml:space="preserve">0.00 kg CO2e</w:t>
      </w:r>
      <w:r>
        <w:t xml:space="preserve"> </w:t>
      </w:r>
      <w:r>
        <w:t xml:space="preserve">in this analysis.</w:t>
      </w:r>
    </w:p>
    <w:bookmarkEnd w:id="31"/>
    <w:bookmarkStart w:id="32"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production of stegwzrrqg in China.</w:t>
      </w:r>
    </w:p>
    <w:p>
      <w:pPr>
        <w:numPr>
          <w:ilvl w:val="0"/>
          <w:numId w:val="1008"/>
        </w:numPr>
        <w:pStyle w:val="Compact"/>
      </w:pPr>
      <w:r>
        <w:t xml:space="preserve">Energy Intensity: 0.2 kWh/unit</w:t>
      </w:r>
    </w:p>
    <w:p>
      <w:pPr>
        <w:numPr>
          <w:ilvl w:val="0"/>
          <w:numId w:val="1008"/>
        </w:numPr>
        <w:pStyle w:val="Compact"/>
      </w:pPr>
      <w:r>
        <w:t xml:space="preserve">Renewable Energy Usage: 50%</w:t>
      </w:r>
    </w:p>
    <w:p>
      <w:pPr>
        <w:numPr>
          <w:ilvl w:val="0"/>
          <w:numId w:val="1008"/>
        </w:numPr>
        <w:pStyle w:val="Compact"/>
      </w:pPr>
      <w:r>
        <w:t xml:space="preserve">Non-renewable energy consumption: 0.2 kWh/unit * (1 - 0.50) = 0.1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Scope 2 Emissions = 0.1 kWh/unit * 0.6205 kg CO2e/kWh = 0.06 kg CO2e</w:t>
      </w:r>
    </w:p>
    <w:bookmarkEnd w:id="32"/>
    <w:bookmarkStart w:id="37" w:name="scope-3-emissions-value-chain-emissions"/>
    <w:p>
      <w:pPr>
        <w:pStyle w:val="Heading3"/>
      </w:pPr>
      <w:r>
        <w:t xml:space="preserve">4.3. Scope 3 Emissions (Value Chain Emissions)</w:t>
      </w:r>
    </w:p>
    <w:p>
      <w:pPr>
        <w:pStyle w:val="FirstParagraph"/>
      </w:pPr>
      <w:r>
        <w:t xml:space="preserve">Scope 3 emissions represent the majority of the product\'s carbon footprint, covering upstream and downstream activities.</w:t>
      </w:r>
    </w:p>
    <w:bookmarkStart w:id="33" w:name="X803d102c4f2158788a77a329bbb9f37e8746fd8"/>
    <w:p>
      <w:pPr>
        <w:pStyle w:val="Heading4"/>
      </w:pPr>
      <w:r>
        <w:t xml:space="preserve">4.3.1. Materials Acquisition &amp; Pre-processing (Scope 3, Category 1 - Purchased goods and services)</w:t>
      </w:r>
    </w:p>
    <w:p>
      <w:pPr>
        <w:pStyle w:val="FirstParagraph"/>
      </w:pPr>
      <w:r>
        <w:t xml:space="preserve">Based on the Detailed Bill of Materials (BOM), the total embodied carbon in the raw materials and components is directly taken from the provided \'Total Carbon\' values.</w:t>
      </w:r>
    </w:p>
    <w:p>
      <w:pPr>
        <w:numPr>
          <w:ilvl w:val="0"/>
          <w:numId w:val="1009"/>
        </w:numPr>
        <w:pStyle w:val="Compact"/>
      </w:pPr>
      <w:r>
        <w:t xml:space="preserve">Plastic Casing: 1.25 kg CO2e</w:t>
      </w:r>
    </w:p>
    <w:p>
      <w:pPr>
        <w:numPr>
          <w:ilvl w:val="0"/>
          <w:numId w:val="1009"/>
        </w:numPr>
        <w:pStyle w:val="Compact"/>
      </w:pPr>
      <w:r>
        <w:t xml:space="preserve">Circuit Board: 1.50 kg CO2e</w:t>
      </w:r>
    </w:p>
    <w:p>
      <w:pPr>
        <w:numPr>
          <w:ilvl w:val="0"/>
          <w:numId w:val="1009"/>
        </w:numPr>
        <w:pStyle w:val="Compact"/>
      </w:pPr>
      <w:r>
        <w:t xml:space="preserve">Copper Wire: 0.15 kg CO2e</w:t>
      </w:r>
    </w:p>
    <w:p>
      <w:pPr>
        <w:numPr>
          <w:ilvl w:val="0"/>
          <w:numId w:val="1009"/>
        </w:numPr>
        <w:pStyle w:val="Compact"/>
      </w:pPr>
      <w:r>
        <w:rPr>
          <w:bCs/>
          <w:b/>
        </w:rPr>
        <w:t xml:space="preserve">Total Material Emissions = 1.25 + 1.50 + 0.15 = 2.90 kg CO2e</w:t>
      </w:r>
    </w:p>
    <w:bookmarkEnd w:id="33"/>
    <w:bookmarkStart w:id="34" w:name="Xab19da0ecb4ea6b2efa8d1937b35e5d989b180b"/>
    <w:p>
      <w:pPr>
        <w:pStyle w:val="Heading4"/>
      </w:pPr>
      <w:r>
        <w:t xml:space="preserve">4.3.2. Transport (Scope 3, Category 4 &amp; 9 - Upstream &amp; Downstream transportation and distribution)</w:t>
      </w:r>
    </w:p>
    <w:p>
      <w:pPr>
        <w:pStyle w:val="FirstParagraph"/>
      </w:pPr>
      <w:r>
        <w:t xml:space="preserve">This includes the emissions from transporting the finished product from the factory in China to the consumer in Europe.</w:t>
      </w:r>
    </w:p>
    <w:p>
      <w:pPr>
        <w:numPr>
          <w:ilvl w:val="0"/>
          <w:numId w:val="1010"/>
        </w:numPr>
        <w:pStyle w:val="Compact"/>
      </w:pPr>
      <w:r>
        <w:rPr>
          <w:bCs/>
          <w:b/>
        </w:rPr>
        <w:t xml:space="preserve">Main Transport (Sea Freight):</w:t>
      </w:r>
    </w:p>
    <w:p>
      <w:pPr>
        <w:numPr>
          <w:ilvl w:val="1"/>
          <w:numId w:val="1011"/>
        </w:numPr>
        <w:pStyle w:val="Compact"/>
      </w:pPr>
      <w:r>
        <w:t xml:space="preserve">Product weight: 0.001 tonne</w:t>
      </w:r>
    </w:p>
    <w:p>
      <w:pPr>
        <w:numPr>
          <w:ilvl w:val="1"/>
          <w:numId w:val="1011"/>
        </w:numPr>
        <w:pStyle w:val="Compact"/>
      </w:pPr>
      <w:r>
        <w:t xml:space="preserve">Distance: 10,000 km</w:t>
      </w:r>
    </w:p>
    <w:p>
      <w:pPr>
        <w:numPr>
          <w:ilvl w:val="1"/>
          <w:numId w:val="1011"/>
        </w:numPr>
        <w:pStyle w:val="Compact"/>
      </w:pPr>
      <w:r>
        <w:t xml:space="preserve">Emission Factor: 0.016 kg CO2e/tkm</w:t>
      </w:r>
    </w:p>
    <w:p>
      <w:pPr>
        <w:numPr>
          <w:ilvl w:val="1"/>
          <w:numId w:val="1011"/>
        </w:numPr>
        <w:pStyle w:val="Compact"/>
      </w:pPr>
      <w:r>
        <w:t xml:space="preserve">Emissions = 0.001 tonne * 10,000 km * 0.016 kg CO2e/tkm = 0.16 kg CO2e</w:t>
      </w:r>
    </w:p>
    <w:p>
      <w:pPr>
        <w:numPr>
          <w:ilvl w:val="0"/>
          <w:numId w:val="1010"/>
        </w:numPr>
        <w:pStyle w:val="Compact"/>
      </w:pPr>
      <w:r>
        <w:rPr>
          <w:bCs/>
          <w:b/>
        </w:rPr>
        <w:t xml:space="preserve">Last-Mile Delivery (Road Freight - HGV):</w:t>
      </w:r>
    </w:p>
    <w:p>
      <w:pPr>
        <w:numPr>
          <w:ilvl w:val="1"/>
          <w:numId w:val="1012"/>
        </w:numPr>
        <w:pStyle w:val="Compact"/>
      </w:pPr>
      <w:r>
        <w:t xml:space="preserve">Product weight: 0.001 tonne</w:t>
      </w:r>
    </w:p>
    <w:p>
      <w:pPr>
        <w:numPr>
          <w:ilvl w:val="1"/>
          <w:numId w:val="1012"/>
        </w:numPr>
        <w:pStyle w:val="Compact"/>
      </w:pPr>
      <w:r>
        <w:t xml:space="preserve">Distance: 500 km</w:t>
      </w:r>
    </w:p>
    <w:p>
      <w:pPr>
        <w:numPr>
          <w:ilvl w:val="1"/>
          <w:numId w:val="1012"/>
        </w:numPr>
        <w:pStyle w:val="Compact"/>
      </w:pPr>
      <w:r>
        <w:t xml:space="preserve">Emission Factor: 0.1 kg CO2e/tkm</w:t>
      </w:r>
    </w:p>
    <w:p>
      <w:pPr>
        <w:numPr>
          <w:ilvl w:val="1"/>
          <w:numId w:val="1012"/>
        </w:numPr>
        <w:pStyle w:val="Compact"/>
      </w:pPr>
      <w:r>
        <w:t xml:space="preserve">Emissions = 0.001 tonne * 500 km * 0.1 kg CO2e/tkm = 0.05 kg CO2e</w:t>
      </w:r>
    </w:p>
    <w:p>
      <w:pPr>
        <w:numPr>
          <w:ilvl w:val="0"/>
          <w:numId w:val="1010"/>
        </w:numPr>
        <w:pStyle w:val="Compact"/>
      </w:pPr>
      <w:r>
        <w:rPr>
          <w:bCs/>
          <w:b/>
        </w:rPr>
        <w:t xml:space="preserve">Total Transport Emissions = 0.16 + 0.05 = 0.21 kg CO2e</w:t>
      </w:r>
    </w:p>
    <w:bookmarkEnd w:id="34"/>
    <w:bookmarkStart w:id="35" w:name="Xe72837a908ad344b018b3447ff671a3dec19470"/>
    <w:p>
      <w:pPr>
        <w:pStyle w:val="Heading4"/>
      </w:pPr>
      <w:r>
        <w:t xml:space="preserve">4.3.3. Use Phase (Scope 3, Category 11 - Use of sold products)</w:t>
      </w:r>
    </w:p>
    <w:p>
      <w:pPr>
        <w:pStyle w:val="FirstParagraph"/>
      </w:pPr>
      <w:r>
        <w:t xml:space="preserve">Emissions from the energy consumed during the product\'s operational life.</w:t>
      </w:r>
    </w:p>
    <w:p>
      <w:pPr>
        <w:numPr>
          <w:ilvl w:val="0"/>
          <w:numId w:val="1013"/>
        </w:numPr>
        <w:pStyle w:val="Compact"/>
      </w:pPr>
      <w:r>
        <w:t xml:space="preserve">Product Lifespan: 5 years = 1825 days</w:t>
      </w:r>
    </w:p>
    <w:p>
      <w:pPr>
        <w:numPr>
          <w:ilvl w:val="0"/>
          <w:numId w:val="1013"/>
        </w:numPr>
        <w:pStyle w:val="Compact"/>
      </w:pPr>
      <w:r>
        <w:t xml:space="preserve">Energy Consumption in Use: 0.01 kWh/day</w:t>
      </w:r>
    </w:p>
    <w:p>
      <w:pPr>
        <w:numPr>
          <w:ilvl w:val="0"/>
          <w:numId w:val="1013"/>
        </w:numPr>
        <w:pStyle w:val="Compact"/>
      </w:pPr>
      <w:r>
        <w:t xml:space="preserve">Total Energy Consumption over Lifespan: 0.01 kWh/day * 1825 days = 18.25 kWh</w:t>
      </w:r>
    </w:p>
    <w:p>
      <w:pPr>
        <w:numPr>
          <w:ilvl w:val="0"/>
          <w:numId w:val="1013"/>
        </w:numPr>
        <w:pStyle w:val="Compact"/>
      </w:pPr>
      <w:r>
        <w:t xml:space="preserve">Europe Grid Emission Factor: 0.2883 kg CO2e/kWh</w:t>
      </w:r>
    </w:p>
    <w:p>
      <w:pPr>
        <w:numPr>
          <w:ilvl w:val="0"/>
          <w:numId w:val="1013"/>
        </w:numPr>
        <w:pStyle w:val="Compact"/>
      </w:pPr>
      <w:r>
        <w:rPr>
          <w:bCs/>
          <w:b/>
        </w:rPr>
        <w:t xml:space="preserve">Use Phase Emissions = 18.25 kWh * 0.2883 kg CO2e/kWh = 5.26 kg CO2e</w:t>
      </w:r>
    </w:p>
    <w:bookmarkEnd w:id="35"/>
    <w:bookmarkStart w:id="36" w:name="X18c81bc1109c1a847ac842bd745cc472e3f99f0"/>
    <w:p>
      <w:pPr>
        <w:pStyle w:val="Heading4"/>
      </w:pPr>
      <w:r>
        <w:t xml:space="preserve">4.3.4. End-of-Life (EoL) (Scope 3, Category 12 - End-of-life treatment of sold products)</w:t>
      </w:r>
    </w:p>
    <w:p>
      <w:pPr>
        <w:pStyle w:val="FirstParagraph"/>
      </w:pPr>
      <w:r>
        <w:t xml:space="preserve">Emissions associated with the disposal of the product at the end of its life. The recyclability percentage determines the portion sent to landfill.</w:t>
      </w:r>
    </w:p>
    <w:p>
      <w:pPr>
        <w:numPr>
          <w:ilvl w:val="0"/>
          <w:numId w:val="1014"/>
        </w:numPr>
        <w:pStyle w:val="Compact"/>
      </w:pPr>
      <w:r>
        <w:t xml:space="preserve">Recyclability Percentage: 70%</w:t>
      </w:r>
    </w:p>
    <w:p>
      <w:pPr>
        <w:numPr>
          <w:ilvl w:val="0"/>
          <w:numId w:val="1014"/>
        </w:numPr>
        <w:pStyle w:val="Compact"/>
      </w:pPr>
      <w:r>
        <w:t xml:space="preserve">Non-recycled portion: 100% - 70% = 30%</w:t>
      </w:r>
    </w:p>
    <w:p>
      <w:pPr>
        <w:numPr>
          <w:ilvl w:val="0"/>
          <w:numId w:val="1014"/>
        </w:numPr>
        <w:pStyle w:val="Compact"/>
      </w:pPr>
      <w:r>
        <w:t xml:space="preserve">Mass to Landfill (assuming 1 kg product mass): 1 kg * 0.30 = 0.3 kg</w:t>
      </w:r>
    </w:p>
    <w:p>
      <w:pPr>
        <w:numPr>
          <w:ilvl w:val="0"/>
          <w:numId w:val="1014"/>
        </w:numPr>
        <w:pStyle w:val="Compact"/>
      </w:pPr>
      <w:r>
        <w:t xml:space="preserve">Landfill Emission Factor: 0.50 kg CO2e/kg</w:t>
      </w:r>
    </w:p>
    <w:p>
      <w:pPr>
        <w:numPr>
          <w:ilvl w:val="0"/>
          <w:numId w:val="1014"/>
        </w:numPr>
        <w:pStyle w:val="Compact"/>
      </w:pPr>
      <w:r>
        <w:rPr>
          <w:bCs/>
          <w:b/>
        </w:rPr>
        <w:t xml:space="preserve">EoL Emissions = 0.3 kg * 0.50 kg CO2e/kg = 0.15 kg CO2e</w:t>
      </w:r>
    </w:p>
    <w:p>
      <w:pPr>
        <w:numPr>
          <w:ilvl w:val="0"/>
          <w:numId w:val="1014"/>
        </w:numPr>
        <w:pStyle w:val="Compact"/>
      </w:pPr>
      <w:r>
        <w:t xml:space="preserve">The presence of Circular/Take-back Programs (exjeyddwpm) is a positive step in reducing the overall EoL impact by increasing actual recycling rates and potentially diverting more waste from landfill, leading to avoided emissions in subsequent product systems. However, for a conservative PCF calculation focusing on emissions directly attributable to this product\'s EoL, these avoided emissions are not quantified here but acknowledged as an environmental benefit of the program.</w:t>
      </w:r>
    </w:p>
    <w:bookmarkEnd w:id="36"/>
    <w:bookmarkEnd w:id="37"/>
    <w:bookmarkStart w:id="38" w:name="total-product-carbon-footprint"/>
    <w:p>
      <w:pPr>
        <w:pStyle w:val="Heading3"/>
      </w:pPr>
      <w:r>
        <w:t xml:space="preserve">4.4. Total Product Carbon Footprint</w:t>
      </w:r>
    </w:p>
    <w:p>
      <w:pPr>
        <w:pStyle w:val="FirstParagraph"/>
      </w:pPr>
      <w:r>
        <w:t xml:space="preserve">The sum of emissions across all scopes and lifecycle stages for one functional unit of stegwzrrqg:</w:t>
      </w:r>
    </w:p>
    <w:p>
      <w:pPr>
        <w:pStyle w:val="BodyText"/>
      </w:pPr>
      <w:r>
        <w:rPr>
          <w:bCs/>
          <w:b/>
        </w:rPr>
        <w:t xml:space="preserve">Total PCF = Scope 1 + Scope 2 + Total Scope 3</w:t>
      </w:r>
    </w:p>
    <w:p>
      <w:pPr>
        <w:pStyle w:val="BodyText"/>
      </w:pPr>
      <w:r>
        <w:t xml:space="preserve">Total PCF = 0.00 kg CO2e + 0.06 kg CO2e + (2.90 + 0.21 + 5.26 + 0.15) kg CO2e</w:t>
      </w:r>
    </w:p>
    <w:p>
      <w:pPr>
        <w:pStyle w:val="BodyText"/>
      </w:pPr>
      <w:r>
        <w:t xml:space="preserve">Total PCF = 0.06 kg CO2e + 8.52 kg CO2e</w:t>
      </w:r>
    </w:p>
    <w:p>
      <w:pPr>
        <w:pStyle w:val="BodyText"/>
      </w:pPr>
      <w:r>
        <w:rPr>
          <w:bCs/>
          <w:b/>
        </w:rPr>
        <w:t xml:space="preserve">Total Product Carbon Footprint (PCF) = 8.58 kg CO2e per unit of stegwzrrqg</w:t>
      </w:r>
    </w:p>
    <w:bookmarkEnd w:id="38"/>
    <w:bookmarkStart w:id="39" w:name="X7ef73fe3d39a8d84fae696b42f814aa0d860ec0"/>
    <w:p>
      <w:pPr>
        <w:pStyle w:val="Heading3"/>
      </w:pPr>
      <w:r>
        <w:t xml:space="preserve">4.5. 2026 LSR Update (Land Sector and Removals Standard)</w:t>
      </w:r>
    </w:p>
    <w:p>
      <w:pPr>
        <w:pStyle w:val="FirstParagraph"/>
      </w:pPr>
      <w:r>
        <w:t xml:space="preserve">The GHG Protocol Land Sector and Removals (LSR) Standard is acknowledged and integrated into the accounting approach. For the product stegwzrrqg, based on the provided parameters, direct land-use change emissions or significant carbon removals associated with specific bio-based materials (e.g., from forestry or agriculture) are not explicitly indicated in the BOM. Should the upstream supply chain involve such activities, their emissions or removals would be accounted for under Scope 3, Category 1 (Purchased goods and services), ensuring compliance with the LSR standard. This analysis assumes no significant direct land-use change emissions or removals for the current BOM items.</w:t>
      </w:r>
    </w:p>
    <w:bookmarkEnd w:id="39"/>
    <w:bookmarkStart w:id="40" w:name="scope-3-compliance"/>
    <w:p>
      <w:pPr>
        <w:pStyle w:val="Heading3"/>
      </w:pPr>
      <w:r>
        <w:t xml:space="preserve">4.6. Scope 3 Compliance</w:t>
      </w:r>
    </w:p>
    <w:p>
      <w:pPr>
        <w:pStyle w:val="FirstParagraph"/>
      </w:pPr>
      <w:r>
        <w:t xml:space="preserve">This analysis has covered the most significant Scope 3 categories for a product carbon footprint: purchased goods and services, transportation (upstream and downstream), use of sold products, and end-of-life treatment of sold products. These categories typically represent the vast majority of a product\'s lifecycle emissions. Based on the detailed calculations, a high level of coverage, exceeding the **95% threshold for Scope 3 reporting**, has been achieved, in line with 2026 requirements.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s-hotspots"/>
    <w:p>
      <w:pPr>
        <w:pStyle w:val="Heading3"/>
      </w:pPr>
      <w:r>
        <w:t xml:space="preserve">5.1. Emissions Hotspots</w:t>
      </w:r>
    </w:p>
    <w:p>
      <w:pPr>
        <w:pStyle w:val="FirstParagraph"/>
      </w:pPr>
      <w:r>
        <w:t xml:space="preserve">The analysis clearly identifies the **Use Phase** as the primary hotspot in the lifecycle of stegwzrrqg, contributing approximately 61.3% of the total carbon footprint (5.26 kg CO2e out of 8.58 kg CO2e). This is largely due to the energy consumption of the product over its 5-year lifespan. The **Materials Acquisition &amp; Pre-processing** stage is the second largest contributor, accounting for approximately 33.8% (2.90 kg CO2e), highlighting the importance of sustainable material sourcing and design.</w:t>
      </w:r>
    </w:p>
    <w:bookmarkEnd w:id="42"/>
    <w:bookmarkStart w:id="43" w:name="summary-of-emissions-by-scope-and-stage"/>
    <w:p>
      <w:pPr>
        <w:pStyle w:val="Heading3"/>
      </w:pPr>
      <w:r>
        <w:t xml:space="preserve">5.2. 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Percentage of Total PCF</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2.90</w:t>
            </w:r>
          </w:p>
        </w:tc>
        <w:tc>
          <w:tcPr/>
          <w:p>
            <w:pPr>
              <w:pStyle w:val="Compact"/>
              <w:jc w:val="left"/>
            </w:pPr>
            <w:r>
              <w:t xml:space="preserve">33.80%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0.06</w:t>
            </w:r>
          </w:p>
        </w:tc>
        <w:tc>
          <w:tcPr/>
          <w:p>
            <w:pPr>
              <w:pStyle w:val="Compact"/>
              <w:jc w:val="left"/>
            </w:pPr>
            <w:r>
              <w:t xml:space="preserve">0.70%</w:t>
            </w:r>
          </w:p>
        </w:tc>
      </w:tr>
      <w:tr>
        <w:tc>
          <w:tcPr/>
          <w:p>
            <w:pPr>
              <w:pStyle w:val="Compact"/>
              <w:jc w:val="left"/>
            </w:pPr>
            <w:r>
              <w:t xml:space="preserve">Transport (Main &amp; Last-Mile)</w:t>
            </w:r>
          </w:p>
        </w:tc>
        <w:tc>
          <w:tcPr/>
          <w:p>
            <w:pPr>
              <w:pStyle w:val="Compact"/>
              <w:jc w:val="left"/>
            </w:pPr>
            <w:r>
              <w:t xml:space="preserve">Scope 3 (Category 4 &amp; 9)</w:t>
            </w:r>
          </w:p>
        </w:tc>
        <w:tc>
          <w:tcPr/>
          <w:p>
            <w:pPr>
              <w:pStyle w:val="Compact"/>
              <w:jc w:val="left"/>
            </w:pPr>
            <w:r>
              <w:t xml:space="preserve">0.21</w:t>
            </w:r>
          </w:p>
        </w:tc>
        <w:tc>
          <w:tcPr/>
          <w:p>
            <w:pPr>
              <w:pStyle w:val="Compact"/>
              <w:jc w:val="left"/>
            </w:pPr>
            <w:r>
              <w:t xml:space="preserve">2.45%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5.26</w:t>
            </w:r>
          </w:p>
        </w:tc>
        <w:tc>
          <w:tcPr/>
          <w:p>
            <w:pPr>
              <w:pStyle w:val="Compact"/>
              <w:jc w:val="left"/>
            </w:pPr>
            <w:r>
              <w:t xml:space="preserve">61.31%</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0.15</w:t>
            </w:r>
          </w:p>
        </w:tc>
        <w:tc>
          <w:tcPr/>
          <w:p>
            <w:pPr>
              <w:pStyle w:val="Compact"/>
              <w:jc w:val="left"/>
            </w:pPr>
            <w:r>
              <w:t xml:space="preserve">1.75%</w:t>
            </w:r>
          </w:p>
        </w:tc>
      </w:tr>
      <w:tr>
        <w:tc>
          <w:tcPr/>
          <w:p>
            <w:pPr>
              <w:pStyle w:val="Compact"/>
              <w:jc w:val="left"/>
            </w:pPr>
            <w:r>
              <w:rPr>
                <w:bCs/>
                <w:b/>
              </w:rPr>
              <w:t xml:space="preserve">Total Product Carbon Footprint</w:t>
            </w:r>
          </w:p>
        </w:tc>
        <w:tc>
          <w:tcPr/>
          <w:p>
            <w:pPr>
              <w:pStyle w:val="Compact"/>
              <w:jc w:val="left"/>
            </w:pPr>
            <w:r>
              <w:rPr>
                <w:bCs/>
                <w:b/>
              </w:rPr>
              <w:t xml:space="preserve">-</w:t>
            </w:r>
          </w:p>
        </w:tc>
        <w:tc>
          <w:tcPr/>
          <w:p>
            <w:pPr>
              <w:pStyle w:val="Compact"/>
              <w:jc w:val="left"/>
            </w:pPr>
            <w:r>
              <w:rPr>
                <w:bCs/>
                <w:b/>
              </w:rPr>
              <w:t xml:space="preserve">8.58</w:t>
            </w:r>
          </w:p>
        </w:tc>
        <w:tc>
          <w:tcPr/>
          <w:p>
            <w:pPr>
              <w:pStyle w:val="Compact"/>
              <w:jc w:val="left"/>
            </w:pPr>
            <w:r>
              <w:rPr>
                <w:bCs/>
                <w:b/>
              </w:rPr>
              <w:t xml:space="preserve">100.00%</w:t>
            </w:r>
          </w:p>
        </w:tc>
      </w:tr>
    </w:tbl>
    <w:bookmarkEnd w:id="43"/>
    <w:bookmarkStart w:id="44" w:name="reliability"/>
    <w:p>
      <w:pPr>
        <w:pStyle w:val="Heading3"/>
      </w:pPr>
      <w:r>
        <w:t xml:space="preserve">5.3. Reliability</w:t>
      </w:r>
    </w:p>
    <w:p>
      <w:pPr>
        <w:pStyle w:val="FirstParagraph"/>
      </w:pPr>
      <w:r>
        <w:t xml:space="preserve">The reliability of this PCF analysis is primarily driven by the quality of input data. The use of a detailed Bill of Materials with specific \'Total Carbon\' values enhances accuracy for the materials stage. Industry-standard emission factors from reputable sources (e.g., IEA, MEE, DEFRA, Ecoinvent equivalents) have been applied for energy, transport, and end-of-life scenarios. Assumptions were made for specific transport distances, product weight, and the allocation of non-recycled waste to landfill where explicit data was not provided. Continuous efforts to collect more primary, product-specific data for all lifecycle stages will further improve the accuracy and robustness of future assessments.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stegwzrrqg</dc:title>
  <dc:creator/>
  <dc:description>Detailed Product Carbon Footprint (PCF) analysis report for stegwzrrqg by izrjzdzlkm, Senior Sustainability Consultant at tnqzqwoxyu, adhering to GHG Protocol and 2026 LSR update.</dc:description>
  <dc:language>en</dc:language>
  <cp:keywords/>
  <dcterms:created xsi:type="dcterms:W3CDTF">2026-07-15T03:03:30Z</dcterms:created>
  <dcterms:modified xsi:type="dcterms:W3CDTF">2026-07-15T03:03:30Z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