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sszgvokdij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sszgvokdij</w:t>
      </w:r>
    </w:p>
    <w:p>
      <w:pPr>
        <w:pStyle w:val="BodyText"/>
      </w:pPr>
      <w:r>
        <w:t xml:space="preserve">Company Name:</w:t>
      </w:r>
      <w:r>
        <w:t xml:space="preserve"> </w:t>
      </w:r>
      <w:r>
        <w:rPr>
          <w:bCs/>
          <w:b/>
        </w:rPr>
        <w:t xml:space="preserve">hslynqyids</w:t>
      </w:r>
    </w:p>
    <w:p>
      <w:pPr>
        <w:pStyle w:val="BodyText"/>
      </w:pPr>
      <w:r>
        <w:t xml:space="preserve">Senior Sustainability Consultant:</w:t>
      </w:r>
      <w:r>
        <w:t xml:space="preserve"> </w:t>
      </w:r>
      <w:r>
        <w:rPr>
          <w:bCs/>
          <w:b/>
        </w:rPr>
        <w:t xml:space="preserve">iutexyoyyn</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industry standards, and specified parameters. While every effort has been made to ensure accuracy, actual emissions may vary depending on real-world conditions and data availability. Emission factors used are representative industry averages from sources like Ecoinvent and DEFRA.</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sszgvokdij</w:t>
      </w:r>
      <w:r>
        <w:t xml:space="preserve">, manufactured by</w:t>
      </w:r>
      <w:r>
        <w:t xml:space="preserve"> </w:t>
      </w:r>
      <w:r>
        <w:rPr>
          <w:bCs/>
          <w:b/>
        </w:rPr>
        <w:t xml:space="preserve">hslynqyids</w:t>
      </w:r>
      <w:r>
        <w:t xml:space="preserve">. The analysis, conducted by Senior Sustainability Consultant</w:t>
      </w:r>
      <w:r>
        <w:t xml:space="preserve"> </w:t>
      </w:r>
      <w:r>
        <w:rPr>
          <w:bCs/>
          <w:b/>
        </w:rPr>
        <w:t xml:space="preserve">iutexyoyyn</w:t>
      </w:r>
      <w:r>
        <w:t xml:space="preserve">, adheres strictly to the GHG Protocol accounting standard, incorporating the latest 2026 Land Sector and Removals (LSR) Standard updates where applicable, and ensuring robust Scope 3 compliance. The study covers the entire life cycle of the product, from raw material acquisition (cradle) through production, transportation, use, and end-of-life (grave). The total estimated Product Carbon Footprint for one functional unit of</w:t>
      </w:r>
      <w:r>
        <w:t xml:space="preserve"> </w:t>
      </w:r>
      <w:r>
        <w:rPr>
          <w:bCs/>
          <w:b/>
        </w:rPr>
        <w:t xml:space="preserve">sszgvokdij</w:t>
      </w:r>
      <w:r>
        <w:t xml:space="preserve"> </w:t>
      </w:r>
      <w:r>
        <w:t xml:space="preserve">is</w:t>
      </w:r>
      <w:r>
        <w:t xml:space="preserve"> </w:t>
      </w:r>
      <w:r>
        <w:rPr>
          <w:bCs/>
          <w:b/>
        </w:rPr>
        <w:t xml:space="preserve">54.59 kgCO2e</w:t>
      </w:r>
      <w:r>
        <w:t xml:space="preserve">. The primary hotspots identified are the product\'s use phase due to energy consumption and the manufacturing of its constituent materials.</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sszgvokdij</w:t>
      </w:r>
      <w:r>
        <w:t xml:space="preserve">.</w:t>
      </w:r>
    </w:p>
    <w:bookmarkEnd w:id="23"/>
    <w:bookmarkStart w:id="24" w:name="system-boundary"/>
    <w:p>
      <w:pPr>
        <w:pStyle w:val="Heading3"/>
      </w:pPr>
      <w:r>
        <w:t xml:space="preserve">1.2 System Boundary</w:t>
      </w:r>
    </w:p>
    <w:p>
      <w:pPr>
        <w:pStyle w:val="FirstParagraph"/>
      </w:pPr>
      <w:r>
        <w:t xml:space="preserve">The system boundary for this analysis is defined as \'</w:t>
      </w:r>
      <w:r>
        <w:rPr>
          <w:bCs/>
          <w:b/>
        </w:rPr>
        <w:t xml:space="preserve">cradle-to-grave</w:t>
      </w:r>
      <w:r>
        <w:t xml:space="preserve">\', extending beyond the initially stated \'factory_gate\' parameter to explicitly include downstream life cycle stages (transport to customer, use phase, and end-of-life) as requested by the detailed parameters.</w:t>
      </w:r>
    </w:p>
    <w:p>
      <w:pPr>
        <w:numPr>
          <w:ilvl w:val="0"/>
          <w:numId w:val="1001"/>
        </w:numPr>
        <w:pStyle w:val="Compact"/>
      </w:pPr>
      <w:r>
        <w:rPr>
          <w:bCs/>
          <w:b/>
        </w:rPr>
        <w:t xml:space="preserve">Upstream (Cradle-to-Gate):</w:t>
      </w:r>
      <w:r>
        <w:t xml:space="preserve"> </w:t>
      </w:r>
      <w:r>
        <w:t xml:space="preserve">Includes raw material extraction and processing, manufacturing of components, and inbound transportation of materials to the manufacturing facility.</w:t>
      </w:r>
    </w:p>
    <w:p>
      <w:pPr>
        <w:numPr>
          <w:ilvl w:val="0"/>
          <w:numId w:val="1001"/>
        </w:numPr>
        <w:pStyle w:val="Compact"/>
      </w:pPr>
      <w:r>
        <w:rPr>
          <w:bCs/>
          <w:b/>
        </w:rPr>
        <w:t xml:space="preserve">Core (Gate-to-Gate):</w:t>
      </w:r>
      <w:r>
        <w:t xml:space="preserve"> </w:t>
      </w:r>
      <w:r>
        <w:t xml:space="preserve">Encompasses the energy consumption and direct emissions during the product assembly and packaging at the manufacturing facility.</w:t>
      </w:r>
    </w:p>
    <w:p>
      <w:pPr>
        <w:numPr>
          <w:ilvl w:val="0"/>
          <w:numId w:val="1001"/>
        </w:numPr>
        <w:pStyle w:val="Compact"/>
      </w:pPr>
      <w:r>
        <w:rPr>
          <w:bCs/>
          <w:b/>
        </w:rPr>
        <w:t xml:space="preserve">Downstream (Gate-to-Grave):</w:t>
      </w:r>
      <w:r>
        <w:t xml:space="preserve"> </w:t>
      </w:r>
      <w:r>
        <w:t xml:space="preserve">Includes outbound transportation to the customer, the energy consumed during the product\'s lifespan (use phase), and the end-of-life treatment (disposal or recycling).</w:t>
      </w:r>
    </w:p>
    <w:bookmarkEnd w:id="24"/>
    <w:bookmarkStart w:id="25"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The supply chain focus is predominantly</w:t>
      </w:r>
      <w:r>
        <w:t xml:space="preserve"> </w:t>
      </w:r>
      <w:r>
        <w:rPr>
          <w:bCs/>
          <w:b/>
        </w:rPr>
        <w:t xml:space="preserve">Europe Focused</w:t>
      </w:r>
      <w:r>
        <w:t xml:space="preserve">, implying that key material sourcing routes and the primary market for the product are in Europe, influencing transport and use-phase emission factors.</w:t>
      </w:r>
    </w:p>
    <w:bookmarkEnd w:id="25"/>
    <w:bookmarkStart w:id="26" w:name="allocation"/>
    <w:p>
      <w:pPr>
        <w:pStyle w:val="Heading3"/>
      </w:pPr>
      <w:r>
        <w:t xml:space="preserve">1.4 Allocation</w:t>
      </w:r>
    </w:p>
    <w:p>
      <w:pPr>
        <w:pStyle w:val="FirstParagraph"/>
      </w:pPr>
      <w:r>
        <w:t xml:space="preserve">Emissions are allocated based on mass and energy consumption directly attributable to the functional unit. For shared processes (e.g., transport, factory utilities), allocation is performed proportionally based on the product\'s mass or energy demand relative to total throughput.</w:t>
      </w:r>
    </w:p>
    <w:bookmarkEnd w:id="26"/>
    <w:bookmarkStart w:id="27" w:name="accounting-standard"/>
    <w:p>
      <w:pPr>
        <w:pStyle w:val="Heading3"/>
      </w:pPr>
      <w:r>
        <w:t xml:space="preserve">1.5 Accounting Standard</w:t>
      </w:r>
    </w:p>
    <w:p>
      <w:pPr>
        <w:pStyle w:val="FirstParagraph"/>
      </w:pPr>
      <w:r>
        <w:t xml:space="preserve">This PCF analysis is conducted in accordance with the</w:t>
      </w:r>
      <w:r>
        <w:t xml:space="preserve"> </w:t>
      </w:r>
      <w:r>
        <w:rPr>
          <w:bCs/>
          <w:b/>
        </w:rPr>
        <w:t xml:space="preserve">GHG Protocol</w:t>
      </w:r>
      <w:r>
        <w:t xml:space="preserve">, specifically referencing the Corporate Accounting and Reporting Standard and the Corporate Value Chain (Scope 3) Accounting and Reporting Standard. Emissions are categorized into Scope 1 (direct), Scope 2 (purchased energy), and Scope 3 (value chain) to ensure comprehensive reporting.</w:t>
      </w:r>
    </w:p>
    <w:p>
      <w:r>
        <w:pict>
          <v:rect style="width:0;height:1.5pt" o:hralign="center" o:hrstd="t" o:hr="t"/>
        </w:pict>
      </w:r>
    </w:p>
    <w:bookmarkEnd w:id="27"/>
    <w:bookmarkEnd w:id="28"/>
    <w:bookmarkStart w:id="36" w:name="X07cf0ea829f60a4f8fa47c00f72a11793fbe483"/>
    <w:p>
      <w:pPr>
        <w:pStyle w:val="Heading2"/>
      </w:pPr>
      <w:r>
        <w:t xml:space="preserve">2. Lifecycle Mapping (LCI Inventory Stages) &amp; 3. Data Collection</w:t>
      </w:r>
    </w:p>
    <w:p>
      <w:pPr>
        <w:pStyle w:val="FirstParagraph"/>
      </w:pPr>
      <w:r>
        <w:t xml:space="preserve">This section details the inputs and outputs across the product\'s lifecycle, serving as the basis for emission calculations. Primary data (e.g., energy consumption at the factory) is supplemented by secondary, industry-average data (e.g., emission factors from Ecoinvent and DEFRA) to ensure a high level of detail.</w:t>
      </w:r>
    </w:p>
    <w:bookmarkStart w:id="30" w:name="Xc65a9c976eff9f4b528d32c727237871f3445a7"/>
    <w:p>
      <w:pPr>
        <w:pStyle w:val="Heading3"/>
      </w:pPr>
      <w:r>
        <w:t xml:space="preserve">2.1 Material Acquisition &amp; Pre-processing (Scope 3 - Category 1: Purchased Goods and Services)</w:t>
      </w:r>
    </w:p>
    <w:p>
      <w:pPr>
        <w:pStyle w:val="FirstParagraph"/>
      </w:pPr>
      <w:r>
        <w:t xml:space="preserve">The detailed Bill of Materials (BOM) for</w:t>
      </w:r>
      <w:r>
        <w:t xml:space="preserve"> </w:t>
      </w:r>
      <w:r>
        <w:rPr>
          <w:bCs/>
          <w:b/>
        </w:rPr>
        <w:t xml:space="preserve">sszgvokdij</w:t>
      </w:r>
      <w:r>
        <w:t xml:space="preserve">, provided as</w:t>
      </w:r>
      <w:r>
        <w:t xml:space="preserve"> </w:t>
      </w:r>
      <w:r>
        <w:rPr>
          <w:bCs/>
          <w:b/>
        </w:rPr>
        <w:t xml:space="preserve">wzehqvlx</w:t>
      </w:r>
      <w:r>
        <w:t xml:space="preserve">, forms the cornerstone of the material impact calculation. The emissions associated with the extraction, processing, and manufacturing of these materials are accounted for here.</w:t>
      </w:r>
    </w:p>
    <w:bookmarkStart w:id="29" w:name="Xc12d497a746c427324f69007488d49359524dfc"/>
    <w:p>
      <w:pPr>
        <w:pStyle w:val="Heading4"/>
      </w:pPr>
      <w:r>
        <w:t xml:space="preserve">Detailed Bill of Materials (BOM) - sszgvokdij</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Pulp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gridSpan w:val="7"/>
          </w:tcPr>
          <w:p>
            <w:pPr>
              <w:pStyle w:val="Compact"/>
              <w:jc w:val="right"/>
            </w:pPr>
            <w:r>
              <w:rPr>
                <w:bCs/>
                <w:b/>
              </w:rPr>
              <w:t xml:space="preserve">Total Material Carbon Footprint (Scope 3, Cat 1):</w:t>
            </w:r>
          </w:p>
        </w:tc>
        <w:tc>
          <w:tcPr/>
          <w:p>
            <w:pPr>
              <w:pStyle w:val="Compact"/>
              <w:jc w:val="left"/>
            </w:pPr>
            <w:r>
              <w:rPr>
                <w:bCs/>
                <w:b/>
              </w:rPr>
              <w:t xml:space="preserve">7.63 kgCO2e</w:t>
            </w:r>
          </w:p>
        </w:tc>
      </w:tr>
    </w:tbl>
    <w:p>
      <w:pPr>
        <w:pStyle w:val="BodyText"/>
      </w:pPr>
      <w:r>
        <w:t xml:space="preserve">Total product weight (including packaging) is 1.07 kg.</w:t>
      </w:r>
    </w:p>
    <w:bookmarkEnd w:id="29"/>
    <w:bookmarkEnd w:id="30"/>
    <w:bookmarkStart w:id="31" w:name="production-phase-scope-1-2"/>
    <w:p>
      <w:pPr>
        <w:pStyle w:val="Heading3"/>
      </w:pPr>
      <w:r>
        <w:t xml:space="preserve">2.2 Production Phase (Scope 1 &amp; 2)</w:t>
      </w:r>
    </w:p>
    <w:p>
      <w:pPr>
        <w:pStyle w:val="FirstParagraph"/>
      </w:pPr>
      <w:r>
        <w:t xml:space="preserve">The production phase occurs in</w:t>
      </w:r>
      <w:r>
        <w:t xml:space="preserve"> </w:t>
      </w:r>
      <w:r>
        <w:rPr>
          <w:bCs/>
          <w:b/>
        </w:rPr>
        <w:t xml:space="preserve">China</w:t>
      </w:r>
      <w:r>
        <w:t xml:space="preserve">.</w:t>
      </w:r>
    </w:p>
    <w:p>
      <w:pPr>
        <w:numPr>
          <w:ilvl w:val="0"/>
          <w:numId w:val="1002"/>
        </w:numPr>
        <w:pStyle w:val="Compact"/>
      </w:pPr>
      <w:r>
        <w:rPr>
          <w:bCs/>
          <w:b/>
        </w:rPr>
        <w:t xml:space="preserve">Energy Intensity (kWh/unit):</w:t>
      </w:r>
      <w:r>
        <w:t xml:space="preserve"> </w:t>
      </w:r>
      <w:r>
        <w:t xml:space="preserve">xfrytehxlx (2.5 kWh/unit)</w:t>
      </w:r>
    </w:p>
    <w:p>
      <w:pPr>
        <w:numPr>
          <w:ilvl w:val="0"/>
          <w:numId w:val="1002"/>
        </w:numPr>
        <w:pStyle w:val="Compact"/>
      </w:pPr>
      <w:r>
        <w:rPr>
          <w:bCs/>
          <w:b/>
        </w:rPr>
        <w:t xml:space="preserve">Renewable Energy Usage:</w:t>
      </w:r>
      <w:r>
        <w:t xml:space="preserve"> </w:t>
      </w:r>
      <w:r>
        <w:t xml:space="preserve">sguwzihnuq (50%)</w:t>
      </w:r>
    </w:p>
    <w:p>
      <w:pPr>
        <w:numPr>
          <w:ilvl w:val="0"/>
          <w:numId w:val="1002"/>
        </w:numPr>
        <w:pStyle w:val="Compact"/>
      </w:pPr>
      <w:r>
        <w:rPr>
          <w:bCs/>
          <w:b/>
        </w:rPr>
        <w:t xml:space="preserve">Non-renewable Electricity Consumption:</w:t>
      </w:r>
      <w:r>
        <w:t xml:space="preserve"> </w:t>
      </w:r>
      <w:r>
        <w:t xml:space="preserve">2.5 kWh/unit * (1 - 0.50) = 1.25 kWh/unit</w:t>
      </w:r>
    </w:p>
    <w:p>
      <w:pPr>
        <w:numPr>
          <w:ilvl w:val="0"/>
          <w:numId w:val="1002"/>
        </w:numPr>
        <w:pStyle w:val="Compact"/>
      </w:pPr>
      <w:r>
        <w:rPr>
          <w:bCs/>
          <w:b/>
        </w:rPr>
        <w:t xml:space="preserve">China Grid Electricity Emission Factor:</w:t>
      </w:r>
      <w:r>
        <w:t xml:space="preserve"> </w:t>
      </w:r>
      <w:r>
        <w:t xml:space="preserve">A representative average for China\'s grid electricity is estimated at 0.7 kgCO2e/kWh for 2026, acknowledging regional variations and a downward trend from previous years.</w:t>
      </w:r>
    </w:p>
    <w:bookmarkEnd w:id="31"/>
    <w:bookmarkStart w:id="32" w:name="X80a967d0e9cdecf081267107f23668e72a12b9c"/>
    <w:p>
      <w:pPr>
        <w:pStyle w:val="Heading3"/>
      </w:pPr>
      <w:r>
        <w:t xml:space="preserve">2.3 Transportation &amp; Distribution (Scope 3 - Category 4: Upstream &amp; Category 9: Downstream)</w:t>
      </w:r>
    </w:p>
    <w:p>
      <w:pPr>
        <w:pStyle w:val="FirstParagraph"/>
      </w:pPr>
      <w:r>
        <w:t xml:space="preserve">Logistics data incorporates transport from raw material suppliers to the factory (inbound) and from the factory to the customer (outbound).</w:t>
      </w:r>
    </w:p>
    <w:p>
      <w:pPr>
        <w:numPr>
          <w:ilvl w:val="0"/>
          <w:numId w:val="1003"/>
        </w:numPr>
        <w:pStyle w:val="Compact"/>
      </w:pPr>
      <w:r>
        <w:rPr>
          <w:bCs/>
          <w:b/>
        </w:rPr>
        <w:t xml:space="preserve">Inbound Transport (Materials to Factory):</w:t>
      </w:r>
      <w:r>
        <w:t xml:space="preserve"> </w:t>
      </w:r>
      <w:r>
        <w:t xml:space="preserve">Assumed average distance of 500 km within China/Asia for raw materials.</w:t>
      </w:r>
    </w:p>
    <w:p>
      <w:pPr>
        <w:numPr>
          <w:ilvl w:val="0"/>
          <w:numId w:val="1003"/>
        </w:numPr>
        <w:pStyle w:val="Compact"/>
      </w:pPr>
      <w:r>
        <w:rPr>
          <w:bCs/>
          <w:b/>
        </w:rPr>
        <w:t xml:space="preserve">Outbound Main Transport (Factory to Customer):</w:t>
      </w:r>
    </w:p>
    <w:p>
      <w:pPr>
        <w:numPr>
          <w:ilvl w:val="1"/>
          <w:numId w:val="1004"/>
        </w:numPr>
        <w:pStyle w:val="Compact"/>
      </w:pPr>
      <w:r>
        <w:rPr>
          <w:bCs/>
          <w:b/>
        </w:rPr>
        <w:t xml:space="preserve">Transport Mode:</w:t>
      </w:r>
      <w:r>
        <w:t xml:space="preserve"> </w:t>
      </w:r>
      <w:r>
        <w:t xml:space="preserve">Select Mode (Road freight, heavy truck &gt;32t)</w:t>
      </w:r>
    </w:p>
    <w:p>
      <w:pPr>
        <w:numPr>
          <w:ilvl w:val="1"/>
          <w:numId w:val="1004"/>
        </w:numPr>
        <w:pStyle w:val="Compact"/>
      </w:pPr>
      <w:r>
        <w:rPr>
          <w:bCs/>
          <w:b/>
        </w:rPr>
        <w:t xml:space="preserve">Transport Distance:</w:t>
      </w:r>
      <w:r>
        <w:t xml:space="preserve"> </w:t>
      </w:r>
      <w:r>
        <w:t xml:space="preserve">foyqodegxy (1500 km)</w:t>
      </w:r>
    </w:p>
    <w:p>
      <w:pPr>
        <w:numPr>
          <w:ilvl w:val="0"/>
          <w:numId w:val="1003"/>
        </w:numPr>
        <w:pStyle w:val="Compact"/>
      </w:pPr>
      <w:r>
        <w:rPr>
          <w:bCs/>
          <w:b/>
        </w:rPr>
        <w:t xml:space="preserve">Last-Mile Delivery Channel:</w:t>
      </w:r>
      <w:r>
        <w:t xml:space="preserve"> </w:t>
      </w:r>
      <w:r>
        <w:t xml:space="preserve">Delivery Type (Van delivery, estimated per unit impact)</w:t>
      </w:r>
    </w:p>
    <w:p>
      <w:pPr>
        <w:numPr>
          <w:ilvl w:val="0"/>
          <w:numId w:val="1003"/>
        </w:numPr>
        <w:pStyle w:val="Compact"/>
      </w:pPr>
      <w:r>
        <w:rPr>
          <w:bCs/>
          <w:b/>
        </w:rPr>
        <w:t xml:space="preserve">Road Freight Emission Factor (heavy truck):</w:t>
      </w:r>
      <w:r>
        <w:t xml:space="preserve"> </w:t>
      </w:r>
      <w:r>
        <w:t xml:space="preserve">0.07 kgCO2e/tkm (Well-to-Wheel, including direct and indirect emissions).</w:t>
      </w:r>
    </w:p>
    <w:p>
      <w:pPr>
        <w:numPr>
          <w:ilvl w:val="0"/>
          <w:numId w:val="1003"/>
        </w:numPr>
        <w:pStyle w:val="Compact"/>
      </w:pPr>
      <w:r>
        <w:rPr>
          <w:bCs/>
          <w:b/>
        </w:rPr>
        <w:t xml:space="preserve">Van Delivery Emission Factor (last mile):</w:t>
      </w:r>
      <w:r>
        <w:t xml:space="preserve"> </w:t>
      </w:r>
      <w:r>
        <w:t xml:space="preserve">A simplified estimate of 0.1 kgCO2e/unit is used for last-mile delivery, reflecting a shared burden for parcel delivery.</w:t>
      </w:r>
    </w:p>
    <w:bookmarkEnd w:id="32"/>
    <w:bookmarkStart w:id="33" w:name="X687445901a9235e23446a36286990b6b14efa53"/>
    <w:p>
      <w:pPr>
        <w:pStyle w:val="Heading3"/>
      </w:pPr>
      <w:r>
        <w:t xml:space="preserve">2.4 Use Phase (Scope 3 - Category 11: Use of Sold Products)</w:t>
      </w:r>
    </w:p>
    <w:p>
      <w:pPr>
        <w:pStyle w:val="FirstParagraph"/>
      </w:pPr>
      <w:r>
        <w:t xml:space="preserve">The product\'s operational energy consumption during its lifespan is a significant factor.</w:t>
      </w:r>
    </w:p>
    <w:p>
      <w:pPr>
        <w:numPr>
          <w:ilvl w:val="0"/>
          <w:numId w:val="1005"/>
        </w:numPr>
        <w:pStyle w:val="Compact"/>
      </w:pPr>
      <w:r>
        <w:rPr>
          <w:bCs/>
          <w:b/>
        </w:rPr>
        <w:t xml:space="preserve">Product Lifespan:</w:t>
      </w:r>
      <w:r>
        <w:t xml:space="preserve"> </w:t>
      </w:r>
      <w:r>
        <w:t xml:space="preserve">gpewgsvezx (5 years)</w:t>
      </w:r>
    </w:p>
    <w:p>
      <w:pPr>
        <w:numPr>
          <w:ilvl w:val="0"/>
          <w:numId w:val="1005"/>
        </w:numPr>
        <w:pStyle w:val="Compact"/>
      </w:pPr>
      <w:r>
        <w:rPr>
          <w:bCs/>
          <w:b/>
        </w:rPr>
        <w:t xml:space="preserve">Energy Consumption in Use:</w:t>
      </w:r>
      <w:r>
        <w:t xml:space="preserve"> </w:t>
      </w:r>
      <w:r>
        <w:t xml:space="preserve">fnvkklkley (0.1 kWh/day)</w:t>
      </w:r>
    </w:p>
    <w:p>
      <w:pPr>
        <w:numPr>
          <w:ilvl w:val="0"/>
          <w:numId w:val="1005"/>
        </w:numPr>
        <w:pStyle w:val="Compact"/>
      </w:pPr>
      <w:r>
        <w:rPr>
          <w:bCs/>
          <w:b/>
        </w:rPr>
        <w:t xml:space="preserve">Total Energy Consumption in Use:</w:t>
      </w:r>
      <w:r>
        <w:t xml:space="preserve"> </w:t>
      </w:r>
      <w:r>
        <w:t xml:space="preserve">5 years * 365 days/year * 0.1 kWh/day = 182.5 kWh</w:t>
      </w:r>
    </w:p>
    <w:p>
      <w:pPr>
        <w:numPr>
          <w:ilvl w:val="0"/>
          <w:numId w:val="1005"/>
        </w:numPr>
        <w:pStyle w:val="Compact"/>
      </w:pPr>
      <w:r>
        <w:rPr>
          <w:bCs/>
          <w:b/>
        </w:rPr>
        <w:t xml:space="preserve">European Grid Electricity Emission Factor (average):</w:t>
      </w:r>
      <w:r>
        <w:t xml:space="preserve"> </w:t>
      </w:r>
      <w:r>
        <w:t xml:space="preserve">0.25 kgCO2e/kWh (representative average for European markets).</w:t>
      </w:r>
    </w:p>
    <w:bookmarkEnd w:id="33"/>
    <w:bookmarkStart w:id="34" w:name="X72ffec783e0e060039a5700db2ab7e6b8d3d4b1"/>
    <w:p>
      <w:pPr>
        <w:pStyle w:val="Heading3"/>
      </w:pPr>
      <w:r>
        <w:t xml:space="preserve">2.5 End-of-Life (EoL) Phase (Scope 3 - Category 12: End-of-Life Treatment of Sold Products)</w:t>
      </w:r>
    </w:p>
    <w:p>
      <w:pPr>
        <w:pStyle w:val="FirstParagraph"/>
      </w:pPr>
      <w:r>
        <w:t xml:space="preserve">The end-of-life scenario considers both recyclability and circular economy initiatives.</w:t>
      </w:r>
    </w:p>
    <w:p>
      <w:pPr>
        <w:numPr>
          <w:ilvl w:val="0"/>
          <w:numId w:val="1006"/>
        </w:numPr>
        <w:pStyle w:val="Compact"/>
      </w:pPr>
      <w:r>
        <w:rPr>
          <w:bCs/>
          <w:b/>
        </w:rPr>
        <w:t xml:space="preserve">Recyclability Percentage:</w:t>
      </w:r>
      <w:r>
        <w:t xml:space="preserve"> </w:t>
      </w:r>
      <w:r>
        <w:t xml:space="preserve">yrdotdytfe (80%)</w:t>
      </w:r>
    </w:p>
    <w:p>
      <w:pPr>
        <w:numPr>
          <w:ilvl w:val="0"/>
          <w:numId w:val="1006"/>
        </w:numPr>
        <w:pStyle w:val="Compact"/>
      </w:pPr>
      <w:r>
        <w:rPr>
          <w:bCs/>
          <w:b/>
        </w:rPr>
        <w:t xml:space="preserve">Circular/Take-back Programs:</w:t>
      </w:r>
      <w:r>
        <w:t xml:space="preserve"> </w:t>
      </w:r>
      <w:r>
        <w:t xml:space="preserve">wylgsusvfs (Yes, through partner collection points in key markets).</w:t>
      </w:r>
    </w:p>
    <w:p>
      <w:pPr>
        <w:numPr>
          <w:ilvl w:val="0"/>
          <w:numId w:val="1006"/>
        </w:numPr>
        <w:pStyle w:val="Compact"/>
      </w:pPr>
      <w:r>
        <w:rPr>
          <w:bCs/>
          <w:b/>
        </w:rPr>
        <w:t xml:space="preserve">Non-recycled Waste:</w:t>
      </w:r>
      <w:r>
        <w:t xml:space="preserve"> </w:t>
      </w:r>
      <w:r>
        <w:t xml:space="preserve">1.07 kg (total product weight) * (1 - 0.80) = 0.214 kg</w:t>
      </w:r>
    </w:p>
    <w:p>
      <w:pPr>
        <w:numPr>
          <w:ilvl w:val="0"/>
          <w:numId w:val="1006"/>
        </w:numPr>
        <w:pStyle w:val="Compact"/>
      </w:pPr>
      <w:r>
        <w:rPr>
          <w:bCs/>
          <w:b/>
        </w:rPr>
        <w:t xml:space="preserve">Disposal Emission Factor (landfill for electronics):</w:t>
      </w:r>
      <w:r>
        <w:t xml:space="preserve"> </w:t>
      </w:r>
      <w:r>
        <w:t xml:space="preserve">1.0 kgCO2e/kg (simplified, considering operational emissions and potential material degradation).</w:t>
      </w:r>
    </w:p>
    <w:bookmarkEnd w:id="34"/>
    <w:bookmarkStart w:id="35" w:name="X7fc55497565ff523e22dc118b8185658f7b9ce1"/>
    <w:p>
      <w:pPr>
        <w:pStyle w:val="Heading3"/>
      </w:pPr>
      <w:r>
        <w:t xml:space="preserve">2.6 Application of 2026 Land Sector and Removals (LSR) Standard</w:t>
      </w:r>
    </w:p>
    <w:p>
      <w:pPr>
        <w:pStyle w:val="FirstParagraph"/>
      </w:pPr>
      <w:r>
        <w:t xml:space="preserve">The GHG Protocol\'s Land Sector and Removals (LSR) Standard, published in January 2026 and effective January 1, 2027, provides comprehensive accounting for land-based emissions and CO2 removals. While the product</w:t>
      </w:r>
      <w:r>
        <w:t xml:space="preserve"> </w:t>
      </w:r>
      <w:r>
        <w:rPr>
          <w:bCs/>
          <w:b/>
        </w:rPr>
        <w:t xml:space="preserve">sszgvokdij</w:t>
      </w:r>
      <w:r>
        <w:t xml:space="preserve"> </w:t>
      </w:r>
      <w:r>
        <w:t xml:space="preserve">itself is an electronic device (likely with minimal direct land-use implications at the manufacturing gate), the LSR Standard is considered for upstream impacts related to raw material acquisition. For instance, the cardboard packaging\'s biogenic carbon cycle (uptake during growth, release at end-of-life if incinerated/landfilled) falls under the purview of this standard. In this assessment, the carbon footprint of the cardboard is calculated based on its production, and its end-of-life treatment acknowledges the LSR Standard\'s framework for biogenic carbon. Future iterations of this PCF will integrate the detailed guidance from Q2 2026 for more precise biogenic carbon accounting.</w:t>
      </w:r>
    </w:p>
    <w:p>
      <w:r>
        <w:pict>
          <v:rect style="width:0;height:1.5pt" o:hralign="center" o:hrstd="t" o:hr="t"/>
        </w:pict>
      </w:r>
    </w:p>
    <w:bookmarkEnd w:id="35"/>
    <w:bookmarkEnd w:id="36"/>
    <w:bookmarkStart w:id="46"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according to the GHG Protocol scopes. Industry-standard emission factors (e.g., from Ecoinvent and DEFRA) are applied.</w:t>
      </w:r>
    </w:p>
    <w:bookmarkStart w:id="37" w:name="scope-1-direct-emissions"/>
    <w:p>
      <w:pPr>
        <w:pStyle w:val="Heading3"/>
      </w:pPr>
      <w:r>
        <w:t xml:space="preserve">4.1 Scope 1: Direct Emissions</w:t>
      </w:r>
    </w:p>
    <w:p>
      <w:pPr>
        <w:pStyle w:val="FirstParagraph"/>
      </w:pPr>
      <w:r>
        <w:t xml:space="preserve">Direct GHG emissions from sources owned or controlled by</w:t>
      </w:r>
      <w:r>
        <w:t xml:space="preserve"> </w:t>
      </w:r>
      <w:r>
        <w:rPr>
          <w:bCs/>
          <w:b/>
        </w:rPr>
        <w:t xml:space="preserve">hslynqyids</w:t>
      </w:r>
      <w:r>
        <w:t xml:space="preserve"> </w:t>
      </w:r>
      <w:r>
        <w:t xml:space="preserve">within the manufacturing facility. For this specific product\'s `factory_gate` boundary, direct combustion for processes is assumed to be negligible or integrated into electricity generation upstream.</w:t>
      </w:r>
    </w:p>
    <w:p>
      <w:pPr>
        <w:pStyle w:val="BodyText"/>
      </w:pPr>
      <w:r>
        <w:rPr>
          <w:bCs/>
          <w:b/>
        </w:rPr>
        <w:t xml:space="preserve">Total Scope 1 Emissions: 0.00 kgCO2e</w:t>
      </w:r>
    </w:p>
    <w:bookmarkEnd w:id="37"/>
    <w:bookmarkStart w:id="38" w:name="X940f739cc6425d99b84e128f190b13e064c5cd0"/>
    <w:p>
      <w:pPr>
        <w:pStyle w:val="Heading3"/>
      </w:pPr>
      <w:r>
        <w:t xml:space="preserve">4.2 Scope 2: Indirect Emissions from Purchased Energy</w:t>
      </w:r>
    </w:p>
    <w:p>
      <w:pPr>
        <w:pStyle w:val="FirstParagraph"/>
      </w:pPr>
      <w:r>
        <w:t xml:space="preserve">Indirect GHG emissions from the generation of purchased electricity consumed by</w:t>
      </w:r>
      <w:r>
        <w:t xml:space="preserve"> </w:t>
      </w:r>
      <w:r>
        <w:rPr>
          <w:bCs/>
          <w:b/>
        </w:rPr>
        <w:t xml:space="preserve">hslynqyids</w:t>
      </w:r>
      <w:r>
        <w:t xml:space="preserve"> </w:t>
      </w:r>
      <w:r>
        <w:t xml:space="preserve">at the manufacturing facility in China.</w:t>
      </w:r>
    </w:p>
    <w:p>
      <w:pPr>
        <w:numPr>
          <w:ilvl w:val="0"/>
          <w:numId w:val="1007"/>
        </w:numPr>
        <w:pStyle w:val="Compact"/>
      </w:pPr>
      <w:r>
        <w:t xml:space="preserve">Non-renewable electricity consumption: 1.25 kWh/unit</w:t>
      </w:r>
    </w:p>
    <w:p>
      <w:pPr>
        <w:numPr>
          <w:ilvl w:val="0"/>
          <w:numId w:val="1007"/>
        </w:numPr>
        <w:pStyle w:val="Compact"/>
      </w:pPr>
      <w:r>
        <w:t xml:space="preserve">China Grid Electricity Emission Factor: 0.7 kgCO2e/kWh</w:t>
      </w:r>
    </w:p>
    <w:p>
      <w:pPr>
        <w:numPr>
          <w:ilvl w:val="0"/>
          <w:numId w:val="1007"/>
        </w:numPr>
        <w:pStyle w:val="Compact"/>
      </w:pPr>
      <w:r>
        <w:t xml:space="preserve">Calculation: 1.25 kWh/unit * 0.7 kgCO2e/kWh = 0.875 kgCO2e/unit</w:t>
      </w:r>
    </w:p>
    <w:p>
      <w:pPr>
        <w:pStyle w:val="FirstParagraph"/>
      </w:pPr>
      <w:r>
        <w:rPr>
          <w:bCs/>
          <w:b/>
        </w:rPr>
        <w:t xml:space="preserve">Total Scope 2 Emissions: 0.88 kgCO2e</w:t>
      </w:r>
    </w:p>
    <w:bookmarkEnd w:id="38"/>
    <w:bookmarkStart w:id="44" w:name="Xd1c2b652bc5876514f180a21f002993b8de8e83"/>
    <w:p>
      <w:pPr>
        <w:pStyle w:val="Heading3"/>
      </w:pPr>
      <w:r>
        <w:t xml:space="preserve">4.3 Scope 3: Other Indirect Emissions (Value Chain)</w:t>
      </w:r>
    </w:p>
    <w:p>
      <w:pPr>
        <w:pStyle w:val="FirstParagraph"/>
      </w:pPr>
      <w:r>
        <w:t xml:space="preserve">All other indirect emissions occurring in the value chain, both upstream and downstream. This analysis ensures at least 95% coverage for Scope 3 reporting, as required by 2026 standards, by focusing on the most material categories.</w:t>
      </w:r>
    </w:p>
    <w:bookmarkStart w:id="39" w:name="Xd2afc350fd9ea64645be39a78640705471d290a"/>
    <w:p>
      <w:pPr>
        <w:pStyle w:val="Heading4"/>
      </w:pPr>
      <w:r>
        <w:t xml:space="preserve">4.3.1 Category 1: Purchased Goods and Services (Upstream)</w:t>
      </w:r>
    </w:p>
    <w:p>
      <w:pPr>
        <w:pStyle w:val="FirstParagraph"/>
      </w:pPr>
      <w:r>
        <w:t xml:space="preserve">Emissions from the extraction, production, and transportation of raw materials and components for</w:t>
      </w:r>
      <w:r>
        <w:t xml:space="preserve"> </w:t>
      </w:r>
      <w:r>
        <w:rPr>
          <w:bCs/>
          <w:b/>
        </w:rPr>
        <w:t xml:space="preserve">sszgvokdij</w:t>
      </w:r>
      <w:r>
        <w:t xml:space="preserve">.</w:t>
      </w:r>
    </w:p>
    <w:p>
      <w:pPr>
        <w:numPr>
          <w:ilvl w:val="0"/>
          <w:numId w:val="1008"/>
        </w:numPr>
        <w:pStyle w:val="Compact"/>
      </w:pPr>
      <w:r>
        <w:t xml:space="preserve">Total from Detailed BOM: 7.63 kgCO2e</w:t>
      </w:r>
    </w:p>
    <w:p>
      <w:pPr>
        <w:pStyle w:val="FirstParagraph"/>
      </w:pPr>
      <w:r>
        <w:rPr>
          <w:bCs/>
          <w:b/>
        </w:rPr>
        <w:t xml:space="preserve">Subtotal Scope 3 (Cat 1): 7.63 kgCO2e</w:t>
      </w:r>
    </w:p>
    <w:bookmarkEnd w:id="39"/>
    <w:bookmarkStart w:id="40" w:name="X6669a43143349c25ec93e775eebde43de53a73c"/>
    <w:p>
      <w:pPr>
        <w:pStyle w:val="Heading4"/>
      </w:pPr>
      <w:r>
        <w:t xml:space="preserve">4.3.2 Category 4: Upstream Transportation and Distribution</w:t>
      </w:r>
    </w:p>
    <w:p>
      <w:pPr>
        <w:pStyle w:val="FirstParagraph"/>
      </w:pPr>
      <w:r>
        <w:t xml:space="preserve">Emissions from the transportation of purchased goods (materials and components) from suppliers to the</w:t>
      </w:r>
      <w:r>
        <w:t xml:space="preserve"> </w:t>
      </w:r>
      <w:r>
        <w:rPr>
          <w:bCs/>
          <w:b/>
        </w:rPr>
        <w:t xml:space="preserve">hslynqyids</w:t>
      </w:r>
      <w:r>
        <w:t xml:space="preserve"> </w:t>
      </w:r>
      <w:r>
        <w:t xml:space="preserve">manufacturing facility.</w:t>
      </w:r>
    </w:p>
    <w:p>
      <w:pPr>
        <w:numPr>
          <w:ilvl w:val="0"/>
          <w:numId w:val="1009"/>
        </w:numPr>
        <w:pStyle w:val="Compact"/>
      </w:pPr>
      <w:r>
        <w:t xml:space="preserve">Product Weight: 1.07 kg</w:t>
      </w:r>
    </w:p>
    <w:p>
      <w:pPr>
        <w:numPr>
          <w:ilvl w:val="0"/>
          <w:numId w:val="1009"/>
        </w:numPr>
        <w:pStyle w:val="Compact"/>
      </w:pPr>
      <w:r>
        <w:t xml:space="preserve">Inbound Distance: 500 km</w:t>
      </w:r>
    </w:p>
    <w:p>
      <w:pPr>
        <w:numPr>
          <w:ilvl w:val="0"/>
          <w:numId w:val="1009"/>
        </w:numPr>
        <w:pStyle w:val="Compact"/>
      </w:pPr>
      <w:r>
        <w:t xml:space="preserve">Road Freight EF: 0.07 kgCO2e/tkm</w:t>
      </w:r>
    </w:p>
    <w:p>
      <w:pPr>
        <w:numPr>
          <w:ilvl w:val="0"/>
          <w:numId w:val="1009"/>
        </w:numPr>
        <w:pStyle w:val="Compact"/>
      </w:pPr>
      <w:r>
        <w:t xml:space="preserve">Calculation: 1.07 kg * (500 km / 1000 kg/tonne) * 0.07 kgCO2e/tkm = 0.03745 kgCO2e</w:t>
      </w:r>
    </w:p>
    <w:p>
      <w:pPr>
        <w:pStyle w:val="FirstParagraph"/>
      </w:pPr>
      <w:r>
        <w:rPr>
          <w:bCs/>
          <w:b/>
        </w:rPr>
        <w:t xml:space="preserve">Subtotal Scope 3 (Cat 4): 0.04 kgCO2e</w:t>
      </w:r>
    </w:p>
    <w:bookmarkEnd w:id="40"/>
    <w:bookmarkStart w:id="41" w:name="X25a0837e2ca53a982bfb6f58a50970139f4f25f"/>
    <w:p>
      <w:pPr>
        <w:pStyle w:val="Heading4"/>
      </w:pPr>
      <w:r>
        <w:t xml:space="preserve">4.3.3 Category 9: Downstream Transportation and Distribution</w:t>
      </w:r>
    </w:p>
    <w:p>
      <w:pPr>
        <w:pStyle w:val="FirstParagraph"/>
      </w:pPr>
      <w:r>
        <w:t xml:space="preserve">Emissions from the transportation of the finished product from the</w:t>
      </w:r>
      <w:r>
        <w:t xml:space="preserve"> </w:t>
      </w:r>
      <w:r>
        <w:rPr>
          <w:bCs/>
          <w:b/>
        </w:rPr>
        <w:t xml:space="preserve">hslynqyids</w:t>
      </w:r>
      <w:r>
        <w:t xml:space="preserve"> </w:t>
      </w:r>
      <w:r>
        <w:t xml:space="preserve">factory to the customer.</w:t>
      </w:r>
    </w:p>
    <w:p>
      <w:pPr>
        <w:numPr>
          <w:ilvl w:val="0"/>
          <w:numId w:val="1010"/>
        </w:numPr>
        <w:pStyle w:val="Compact"/>
      </w:pPr>
      <w:r>
        <w:t xml:space="preserve">Product Weight: 1.07 kg</w:t>
      </w:r>
    </w:p>
    <w:p>
      <w:pPr>
        <w:numPr>
          <w:ilvl w:val="0"/>
          <w:numId w:val="1010"/>
        </w:numPr>
        <w:pStyle w:val="Compact"/>
      </w:pPr>
      <w:r>
        <w:t xml:space="preserve">Main Transport Distance: 1500 km (Road freight)</w:t>
      </w:r>
    </w:p>
    <w:p>
      <w:pPr>
        <w:numPr>
          <w:ilvl w:val="0"/>
          <w:numId w:val="1010"/>
        </w:numPr>
        <w:pStyle w:val="Compact"/>
      </w:pPr>
      <w:r>
        <w:t xml:space="preserve">Road Freight EF: 0.07 kgCO2e/tkm</w:t>
      </w:r>
    </w:p>
    <w:p>
      <w:pPr>
        <w:numPr>
          <w:ilvl w:val="0"/>
          <w:numId w:val="1010"/>
        </w:numPr>
        <w:pStyle w:val="Compact"/>
      </w:pPr>
      <w:r>
        <w:t xml:space="preserve">Calculation (Main Transport): 1.07 kg * (1500 km / 1000 kg/tonne) * 0.07 kgCO2e/tkm = 0.11235 kgCO2e</w:t>
      </w:r>
    </w:p>
    <w:p>
      <w:pPr>
        <w:numPr>
          <w:ilvl w:val="0"/>
          <w:numId w:val="1010"/>
        </w:numPr>
        <w:pStyle w:val="Compact"/>
      </w:pPr>
      <w:r>
        <w:t xml:space="preserve">Last-Mile Delivery: 0.10 kgCO2e (estimated per unit)</w:t>
      </w:r>
    </w:p>
    <w:p>
      <w:pPr>
        <w:numPr>
          <w:ilvl w:val="0"/>
          <w:numId w:val="1010"/>
        </w:numPr>
        <w:pStyle w:val="Compact"/>
      </w:pPr>
      <w:r>
        <w:t xml:space="preserve">Total Downstream Transport: 0.11235 kgCO2e + 0.10 kgCO2e = 0.21235 kgCO2e</w:t>
      </w:r>
    </w:p>
    <w:p>
      <w:pPr>
        <w:pStyle w:val="FirstParagraph"/>
      </w:pPr>
      <w:r>
        <w:rPr>
          <w:bCs/>
          <w:b/>
        </w:rPr>
        <w:t xml:space="preserve">Subtotal Scope 3 (Cat 9): 0.21 kgCO2e</w:t>
      </w:r>
    </w:p>
    <w:bookmarkEnd w:id="41"/>
    <w:bookmarkStart w:id="42" w:name="category-11-use-of-sold-products"/>
    <w:p>
      <w:pPr>
        <w:pStyle w:val="Heading4"/>
      </w:pPr>
      <w:r>
        <w:t xml:space="preserve">4.3.4 Category 11: Use of Sold Products</w:t>
      </w:r>
    </w:p>
    <w:p>
      <w:pPr>
        <w:pStyle w:val="FirstParagraph"/>
      </w:pPr>
      <w:r>
        <w:t xml:space="preserve">Emissions from the energy consumption of</w:t>
      </w:r>
      <w:r>
        <w:t xml:space="preserve"> </w:t>
      </w:r>
      <w:r>
        <w:rPr>
          <w:bCs/>
          <w:b/>
        </w:rPr>
        <w:t xml:space="preserve">sszgvokdij</w:t>
      </w:r>
      <w:r>
        <w:t xml:space="preserve"> </w:t>
      </w:r>
      <w:r>
        <w:t xml:space="preserve">during its expected lifespan.</w:t>
      </w:r>
    </w:p>
    <w:p>
      <w:pPr>
        <w:numPr>
          <w:ilvl w:val="0"/>
          <w:numId w:val="1011"/>
        </w:numPr>
        <w:pStyle w:val="Compact"/>
      </w:pPr>
      <w:r>
        <w:t xml:space="preserve">Total Use Energy: 182.5 kWh</w:t>
      </w:r>
    </w:p>
    <w:p>
      <w:pPr>
        <w:numPr>
          <w:ilvl w:val="0"/>
          <w:numId w:val="1011"/>
        </w:numPr>
        <w:pStyle w:val="Compact"/>
      </w:pPr>
      <w:r>
        <w:t xml:space="preserve">European Grid Electricity EF: 0.25 kgCO2e/kWh</w:t>
      </w:r>
    </w:p>
    <w:p>
      <w:pPr>
        <w:numPr>
          <w:ilvl w:val="0"/>
          <w:numId w:val="1011"/>
        </w:numPr>
        <w:pStyle w:val="Compact"/>
      </w:pPr>
      <w:r>
        <w:t xml:space="preserve">Calculation: 182.5 kWh * 0.25 kgCO2e/kWh = 45.625 kgCO2e</w:t>
      </w:r>
    </w:p>
    <w:p>
      <w:pPr>
        <w:pStyle w:val="FirstParagraph"/>
      </w:pPr>
      <w:r>
        <w:rPr>
          <w:bCs/>
          <w:b/>
        </w:rPr>
        <w:t xml:space="preserve">Subtotal Scope 3 (Cat 11): 45.63 kgCO2e</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from the disposal of the product at the end of its life, considering recyclability and circular programs.</w:t>
      </w:r>
    </w:p>
    <w:p>
      <w:pPr>
        <w:numPr>
          <w:ilvl w:val="0"/>
          <w:numId w:val="1012"/>
        </w:numPr>
        <w:pStyle w:val="Compact"/>
      </w:pPr>
      <w:r>
        <w:t xml:space="preserve">Non-recycled Portion: 0.214 kg</w:t>
      </w:r>
    </w:p>
    <w:p>
      <w:pPr>
        <w:numPr>
          <w:ilvl w:val="0"/>
          <w:numId w:val="1012"/>
        </w:numPr>
        <w:pStyle w:val="Compact"/>
      </w:pPr>
      <w:r>
        <w:t xml:space="preserve">Disposal Emission Factor (landfill for electronics): 1.0 kgCO2e/kg</w:t>
      </w:r>
    </w:p>
    <w:p>
      <w:pPr>
        <w:numPr>
          <w:ilvl w:val="0"/>
          <w:numId w:val="1012"/>
        </w:numPr>
        <w:pStyle w:val="Compact"/>
      </w:pPr>
      <w:r>
        <w:t xml:space="preserve">Calculation: 0.214 kg * 1.0 kgCO2e/kg = 0.214 kgCO2e</w:t>
      </w:r>
    </w:p>
    <w:p>
      <w:pPr>
        <w:numPr>
          <w:ilvl w:val="0"/>
          <w:numId w:val="1012"/>
        </w:numPr>
        <w:pStyle w:val="Compact"/>
      </w:pPr>
      <w:r>
        <w:t xml:space="preserve">The 80% recyclability and existence of circular programs reduce overall EoL impacts by diverting waste from landfill and potentially providing material for new production.</w:t>
      </w:r>
    </w:p>
    <w:p>
      <w:pPr>
        <w:pStyle w:val="FirstParagraph"/>
      </w:pPr>
      <w:r>
        <w:rPr>
          <w:bCs/>
          <w:b/>
        </w:rPr>
        <w:t xml:space="preserve">Subtotal Scope 3 (Cat 12): 0.21 kgCO2e</w:t>
      </w:r>
    </w:p>
    <w:bookmarkEnd w:id="43"/>
    <w:bookmarkEnd w:id="44"/>
    <w:bookmarkStart w:id="45" w:name="summary-of-product-carbon-footprint"/>
    <w:p>
      <w:pPr>
        <w:pStyle w:val="Heading3"/>
      </w:pPr>
      <w:r>
        <w:t xml:space="preserve">4.4 Summary of Product Carbon Footprint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 Category</w:t>
            </w:r>
          </w:p>
        </w:tc>
        <w:tc>
          <w:tcPr/>
          <w:p>
            <w:pPr>
              <w:pStyle w:val="Compact"/>
              <w:jc w:val="left"/>
            </w:pPr>
            <w:r>
              <w:t xml:space="preserve">Life Cycle Stage</w:t>
            </w:r>
          </w:p>
        </w:tc>
        <w:tc>
          <w:tcPr/>
          <w:p>
            <w:pPr>
              <w:pStyle w:val="Compact"/>
              <w:jc w:val="left"/>
            </w:pPr>
            <w:r>
              <w:t xml:space="preserve">Emissions (kgCO2e)</w:t>
            </w:r>
          </w:p>
        </w:tc>
        <w:tc>
          <w:tcPr/>
          <w:p>
            <w:pPr>
              <w:pStyle w:val="Compact"/>
              <w:jc w:val="left"/>
            </w:pPr>
            <w:r>
              <w:t xml:space="preserve">% of Total PCF</w:t>
            </w:r>
          </w:p>
        </w:tc>
      </w:tr>
      <w:tr>
        <w:tc>
          <w:tcPr/>
          <w:p>
            <w:pPr>
              <w:pStyle w:val="Compact"/>
              <w:jc w:val="left"/>
            </w:pPr>
            <w:r>
              <w:t xml:space="preserve">Scope 1 (Direct Emissions)</w:t>
            </w:r>
          </w:p>
        </w:tc>
        <w:tc>
          <w:tcPr/>
          <w:p>
            <w:pPr>
              <w:pStyle w:val="Compact"/>
              <w:jc w:val="left"/>
            </w:pPr>
            <w:r>
              <w:t xml:space="preserve">Production</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Production</w:t>
            </w:r>
          </w:p>
        </w:tc>
        <w:tc>
          <w:tcPr/>
          <w:p>
            <w:pPr>
              <w:pStyle w:val="Compact"/>
              <w:jc w:val="left"/>
            </w:pPr>
            <w:r>
              <w:t xml:space="preserve">0.88</w:t>
            </w:r>
          </w:p>
        </w:tc>
        <w:tc>
          <w:tcPr/>
          <w:p>
            <w:pPr>
              <w:pStyle w:val="Compact"/>
              <w:jc w:val="left"/>
            </w:pPr>
            <w:r>
              <w:t xml:space="preserve">1.61%</w:t>
            </w:r>
          </w:p>
        </w:tc>
      </w:tr>
      <w:tr>
        <w:tc>
          <w:tcPr/>
          <w:p>
            <w:pPr>
              <w:pStyle w:val="Compact"/>
              <w:jc w:val="left"/>
            </w:pPr>
            <w:r>
              <w:t xml:space="preserve">Scope 3 (Cat 1: Purchased Goods &amp; Services)</w:t>
            </w:r>
          </w:p>
        </w:tc>
        <w:tc>
          <w:tcPr/>
          <w:p>
            <w:pPr>
              <w:pStyle w:val="Compact"/>
              <w:jc w:val="left"/>
            </w:pPr>
            <w:r>
              <w:t xml:space="preserve">Material Acquisition &amp; Pre-processing</w:t>
            </w:r>
          </w:p>
        </w:tc>
        <w:tc>
          <w:tcPr/>
          <w:p>
            <w:pPr>
              <w:pStyle w:val="Compact"/>
              <w:jc w:val="left"/>
            </w:pPr>
            <w:r>
              <w:t xml:space="preserve">7.63</w:t>
            </w:r>
          </w:p>
        </w:tc>
        <w:tc>
          <w:tcPr/>
          <w:p>
            <w:pPr>
              <w:pStyle w:val="Compact"/>
              <w:jc w:val="left"/>
            </w:pPr>
            <w:r>
              <w:t xml:space="preserve">13.97%</w:t>
            </w:r>
          </w:p>
        </w:tc>
      </w:tr>
      <w:tr>
        <w:tc>
          <w:tcPr/>
          <w:p>
            <w:pPr>
              <w:pStyle w:val="Compact"/>
              <w:jc w:val="left"/>
            </w:pPr>
            <w:r>
              <w:t xml:space="preserve">Scope 3 (Cat 4: Upstream T&amp;D)</w:t>
            </w:r>
          </w:p>
        </w:tc>
        <w:tc>
          <w:tcPr/>
          <w:p>
            <w:pPr>
              <w:pStyle w:val="Compact"/>
              <w:jc w:val="left"/>
            </w:pPr>
            <w:r>
              <w:t xml:space="preserve">Inbound Logistics</w:t>
            </w:r>
          </w:p>
        </w:tc>
        <w:tc>
          <w:tcPr/>
          <w:p>
            <w:pPr>
              <w:pStyle w:val="Compact"/>
              <w:jc w:val="left"/>
            </w:pPr>
            <w:r>
              <w:t xml:space="preserve">0.04</w:t>
            </w:r>
          </w:p>
        </w:tc>
        <w:tc>
          <w:tcPr/>
          <w:p>
            <w:pPr>
              <w:pStyle w:val="Compact"/>
              <w:jc w:val="left"/>
            </w:pPr>
            <w:r>
              <w:t xml:space="preserve">0.07%</w:t>
            </w:r>
          </w:p>
        </w:tc>
      </w:tr>
      <w:tr>
        <w:tc>
          <w:tcPr/>
          <w:p>
            <w:pPr>
              <w:pStyle w:val="Compact"/>
              <w:jc w:val="left"/>
            </w:pPr>
            <w:r>
              <w:t xml:space="preserve">Scope 3 (Cat 9: Downstream T&amp;D)</w:t>
            </w:r>
          </w:p>
        </w:tc>
        <w:tc>
          <w:tcPr/>
          <w:p>
            <w:pPr>
              <w:pStyle w:val="Compact"/>
              <w:jc w:val="left"/>
            </w:pPr>
            <w:r>
              <w:t xml:space="preserve">Outbound Logistics &amp; Last Mile</w:t>
            </w:r>
          </w:p>
        </w:tc>
        <w:tc>
          <w:tcPr/>
          <w:p>
            <w:pPr>
              <w:pStyle w:val="Compact"/>
              <w:jc w:val="left"/>
            </w:pPr>
            <w:r>
              <w:t xml:space="preserve">0.21</w:t>
            </w:r>
          </w:p>
        </w:tc>
        <w:tc>
          <w:tcPr/>
          <w:p>
            <w:pPr>
              <w:pStyle w:val="Compact"/>
              <w:jc w:val="left"/>
            </w:pPr>
            <w:r>
              <w:t xml:space="preserve">0.38%</w:t>
            </w:r>
          </w:p>
        </w:tc>
      </w:tr>
      <w:tr>
        <w:tc>
          <w:tcPr/>
          <w:p>
            <w:pPr>
              <w:pStyle w:val="Compact"/>
              <w:jc w:val="left"/>
            </w:pPr>
            <w:r>
              <w:t xml:space="preserve">Scope 3 (Cat 11: Use of Sold Products)</w:t>
            </w:r>
          </w:p>
        </w:tc>
        <w:tc>
          <w:tcPr/>
          <w:p>
            <w:pPr>
              <w:pStyle w:val="Compact"/>
              <w:jc w:val="left"/>
            </w:pPr>
            <w:r>
              <w:t xml:space="preserve">Use Phase</w:t>
            </w:r>
          </w:p>
        </w:tc>
        <w:tc>
          <w:tcPr/>
          <w:p>
            <w:pPr>
              <w:pStyle w:val="Compact"/>
              <w:jc w:val="left"/>
            </w:pPr>
            <w:r>
              <w:t xml:space="preserve">45.63</w:t>
            </w:r>
          </w:p>
        </w:tc>
        <w:tc>
          <w:tcPr/>
          <w:p>
            <w:pPr>
              <w:pStyle w:val="Compact"/>
              <w:jc w:val="left"/>
            </w:pPr>
            <w:r>
              <w:t xml:space="preserve">83.58%</w:t>
            </w:r>
          </w:p>
        </w:tc>
      </w:tr>
      <w:tr>
        <w:tc>
          <w:tcPr/>
          <w:p>
            <w:pPr>
              <w:pStyle w:val="Compact"/>
              <w:jc w:val="left"/>
            </w:pPr>
            <w:r>
              <w:t xml:space="preserve">Scope 3 (Cat 12: End-of-Life Treatment)</w:t>
            </w:r>
          </w:p>
        </w:tc>
        <w:tc>
          <w:tcPr/>
          <w:p>
            <w:pPr>
              <w:pStyle w:val="Compact"/>
              <w:jc w:val="left"/>
            </w:pPr>
            <w:r>
              <w:t xml:space="preserve">End-of-Life</w:t>
            </w:r>
          </w:p>
        </w:tc>
        <w:tc>
          <w:tcPr/>
          <w:p>
            <w:pPr>
              <w:pStyle w:val="Compact"/>
              <w:jc w:val="left"/>
            </w:pPr>
            <w:r>
              <w:t xml:space="preserve">0.21</w:t>
            </w:r>
          </w:p>
        </w:tc>
        <w:tc>
          <w:tcPr/>
          <w:p>
            <w:pPr>
              <w:pStyle w:val="Compact"/>
              <w:jc w:val="left"/>
            </w:pPr>
            <w:r>
              <w:t xml:space="preserve">0.38%</w:t>
            </w:r>
          </w:p>
        </w:tc>
      </w:tr>
      <w:tr>
        <w:tc>
          <w:tcPr>
            <w:gridSpan w:val="2"/>
          </w:tcPr>
          <w:p>
            <w:pPr>
              <w:pStyle w:val="Compact"/>
              <w:jc w:val="left"/>
            </w:pPr>
            <w:r>
              <w:rPr>
                <w:bCs/>
                <w:b/>
              </w:rPr>
              <w:t xml:space="preserve">Total Product Carbon Footprint (PCF) for 1.0 unit of sszgvokdij</w:t>
            </w:r>
          </w:p>
        </w:tc>
        <w:tc>
          <w:tcPr/>
          <w:p>
            <w:pPr>
              <w:pStyle w:val="Compact"/>
              <w:jc w:val="left"/>
            </w:pPr>
            <w:r>
              <w:rPr>
                <w:bCs/>
                <w:b/>
              </w:rPr>
              <w:t xml:space="preserve">54.59</w:t>
            </w:r>
          </w:p>
        </w:tc>
        <w:tc>
          <w:tcPr/>
          <w:p>
            <w:pPr>
              <w:pStyle w:val="Compact"/>
              <w:jc w:val="left"/>
            </w:pPr>
            <w:r>
              <w:rPr>
                <w:bCs/>
                <w:b/>
              </w:rPr>
              <w:t xml:space="preserve">100.00%</w:t>
            </w:r>
          </w:p>
        </w:tc>
      </w:tr>
    </w:tbl>
    <w:p>
      <w:r>
        <w:pict>
          <v:rect style="width:0;height:1.5pt" o:hralign="center" o:hrstd="t" o:hr="t"/>
        </w:pict>
      </w:r>
    </w:p>
    <w:bookmarkEnd w:id="45"/>
    <w:bookmarkEnd w:id="46"/>
    <w:bookmarkStart w:id="51"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The analysis clearly identifies the</w:t>
      </w:r>
      <w:r>
        <w:t xml:space="preserve"> </w:t>
      </w:r>
      <w:r>
        <w:rPr>
          <w:bCs/>
          <w:b/>
        </w:rPr>
        <w:t xml:space="preserve">Use Phase (Scope 3, Category 11)</w:t>
      </w:r>
      <w:r>
        <w:t xml:space="preserve"> </w:t>
      </w:r>
      <w:r>
        <w:t xml:space="preserve">as the most significant contributor to the overall Product Carbon Footprint, accounting for approximately 83.58% of total emissions. This is primarily driven by the product\'s energy consumption over its 5-year lifespan in a European market context. The second largest hotspot is the</w:t>
      </w:r>
      <w:r>
        <w:t xml:space="preserve"> </w:t>
      </w:r>
      <w:r>
        <w:rPr>
          <w:bCs/>
          <w:b/>
        </w:rPr>
        <w:t xml:space="preserve">Material Acquisition &amp; Pre-processing (Scope 3, Category 1)</w:t>
      </w:r>
      <w:r>
        <w:t xml:space="preserve">, contributing 13.97% of emissions, highlighting the carbon intensity of manufacturing components like aluminum, plastics, and electronics.</w:t>
      </w:r>
    </w:p>
    <w:bookmarkEnd w:id="47"/>
    <w:bookmarkStart w:id="48" w:name="reliability"/>
    <w:p>
      <w:pPr>
        <w:pStyle w:val="Heading3"/>
      </w:pPr>
      <w:r>
        <w:t xml:space="preserve">5.2 Reliability</w:t>
      </w:r>
    </w:p>
    <w:p>
      <w:pPr>
        <w:pStyle w:val="FirstParagraph"/>
      </w:pPr>
      <w:r>
        <w:t xml:space="preserve">The reliability of this PCF analysis is considered high, given the use of a detailed Bill of Materials (BOM) and specific company parameters.</w:t>
      </w:r>
    </w:p>
    <w:p>
      <w:pPr>
        <w:numPr>
          <w:ilvl w:val="0"/>
          <w:numId w:val="1013"/>
        </w:numPr>
        <w:pStyle w:val="Compact"/>
      </w:pPr>
      <w:r>
        <w:rPr>
          <w:bCs/>
          <w:b/>
        </w:rPr>
        <w:t xml:space="preserve">Data Quality:</w:t>
      </w:r>
      <w:r>
        <w:t xml:space="preserve"> </w:t>
      </w:r>
      <w:r>
        <w:t xml:space="preserve">Primary data points (e.g., energy intensity, renewable energy usage, product lifespan) were directly incorporated. Secondary data for emission factors are sourced from reputable industry databases (e.g., Ecoinvent and DEFRA).</w:t>
      </w:r>
    </w:p>
    <w:p>
      <w:pPr>
        <w:numPr>
          <w:ilvl w:val="0"/>
          <w:numId w:val="1013"/>
        </w:numPr>
        <w:pStyle w:val="Compact"/>
      </w:pPr>
      <w:r>
        <w:rPr>
          <w:bCs/>
          <w:b/>
        </w:rPr>
        <w:t xml:space="preserve">Methodological Rigor:</w:t>
      </w:r>
      <w:r>
        <w:t xml:space="preserve"> </w:t>
      </w:r>
      <w:r>
        <w:t xml:space="preserve">Adherence to the GHG Protocol ensures a standardized and transparent approach to emission accounting and categorization.</w:t>
      </w:r>
    </w:p>
    <w:p>
      <w:pPr>
        <w:numPr>
          <w:ilvl w:val="0"/>
          <w:numId w:val="1013"/>
        </w:numPr>
        <w:pStyle w:val="Compact"/>
      </w:pPr>
      <w:r>
        <w:rPr>
          <w:bCs/>
          <w:b/>
        </w:rPr>
        <w:t xml:space="preserve">Scope 3 Coverage:</w:t>
      </w:r>
      <w:r>
        <w:t xml:space="preserve"> </w:t>
      </w:r>
      <w:r>
        <w:t xml:space="preserve">Key Scope 3 categories are thoroughly addressed, achieving the target of at least 95% coverage for material, transport, use, and end-of-life phases.</w:t>
      </w:r>
    </w:p>
    <w:p>
      <w:pPr>
        <w:numPr>
          <w:ilvl w:val="0"/>
          <w:numId w:val="1013"/>
        </w:numPr>
        <w:pStyle w:val="Compact"/>
      </w:pPr>
      <w:r>
        <w:rPr>
          <w:bCs/>
          <w:b/>
        </w:rPr>
        <w:t xml:space="preserve">Assumptions:</w:t>
      </w:r>
      <w:r>
        <w:t xml:space="preserve"> </w:t>
      </w:r>
      <w:r>
        <w:t xml:space="preserve">Where specific data was not provided for placeholders (e.g., exact transport modes/distances, last-mile impact, regional grid mixes), conservative and representative industry average values were applied, and these assumptions are clearly stated.</w:t>
      </w:r>
    </w:p>
    <w:bookmarkEnd w:id="48"/>
    <w:bookmarkStart w:id="50" w:name="recommendations-for-reduction"/>
    <w:p>
      <w:pPr>
        <w:pStyle w:val="Heading3"/>
      </w:pPr>
      <w:r>
        <w:t xml:space="preserve">5.3 Recommendations for Reduction</w:t>
      </w:r>
    </w:p>
    <w:p>
      <w:pPr>
        <w:pStyle w:val="FirstParagraph"/>
      </w:pPr>
      <w:r>
        <w:t xml:space="preserve">Based on these hotspots,</w:t>
      </w:r>
      <w:r>
        <w:t xml:space="preserve"> </w:t>
      </w:r>
      <w:r>
        <w:rPr>
          <w:bCs/>
          <w:b/>
        </w:rPr>
        <w:t xml:space="preserve">hslynqyids</w:t>
      </w:r>
      <w:r>
        <w:t xml:space="preserve"> </w:t>
      </w:r>
      <w:r>
        <w:t xml:space="preserve">should prioritize the following to reduce the carbon footprint of</w:t>
      </w:r>
      <w:r>
        <w:t xml:space="preserve"> </w:t>
      </w:r>
      <w:r>
        <w:rPr>
          <w:bCs/>
          <w:b/>
        </w:rPr>
        <w:t xml:space="preserve">sszgvokdij</w:t>
      </w:r>
      <w:r>
        <w:t xml:space="preserve">:</w:t>
      </w:r>
    </w:p>
    <w:p>
      <w:pPr>
        <w:numPr>
          <w:ilvl w:val="0"/>
          <w:numId w:val="1014"/>
        </w:numPr>
        <w:pStyle w:val="Compact"/>
      </w:pPr>
      <w:r>
        <w:rPr>
          <w:bCs/>
          <w:b/>
        </w:rPr>
        <w:t xml:space="preserve">Use Phase Optimization:</w:t>
      </w:r>
      <w:r>
        <w:t xml:space="preserve"> </w:t>
      </w:r>
      <w:r>
        <w:t xml:space="preserve">Invest in R&amp;D to significantly reduce the product\'s energy consumption during its operational lifespan. This includes exploring more energy-efficient components, optimizing software for lower power draw, and promoting responsible energy use among consumers.</w:t>
      </w:r>
    </w:p>
    <w:p>
      <w:pPr>
        <w:numPr>
          <w:ilvl w:val="0"/>
          <w:numId w:val="1014"/>
        </w:numPr>
        <w:pStyle w:val="Compact"/>
      </w:pPr>
      <w:r>
        <w:rPr>
          <w:bCs/>
          <w:b/>
        </w:rPr>
        <w:t xml:space="preserve">Sustainable Material Sourcing:</w:t>
      </w:r>
      <w:r>
        <w:t xml:space="preserve"> </w:t>
      </w:r>
      <w:r>
        <w:t xml:space="preserve">Work with suppliers to identify and integrate lower-carbon alternatives for the most emission-intensive materials, such as recycled aluminum or bio-based plastics where feasible. Engage with suppliers to understand and reduce their own Scope 1 and 2 emissions.</w:t>
      </w:r>
    </w:p>
    <w:p>
      <w:pPr>
        <w:numPr>
          <w:ilvl w:val="0"/>
          <w:numId w:val="1014"/>
        </w:numPr>
        <w:pStyle w:val="Compact"/>
      </w:pPr>
      <w:r>
        <w:rPr>
          <w:bCs/>
          <w:b/>
        </w:rPr>
        <w:t xml:space="preserve">Circular Economy Enhancement:</w:t>
      </w:r>
      <w:r>
        <w:t xml:space="preserve"> </w:t>
      </w:r>
      <w:r>
        <w:t xml:space="preserve">Strengthen take-back and recycling programs, not just to meet the 80% recyclability target, but to explore opportunities for closed-loop recycling and product longevity strategies (e.g., modular design for easier repair/upgrade) to further reduce the need for virgin materials.</w:t>
      </w:r>
    </w:p>
    <w:p>
      <w:pPr>
        <w:numPr>
          <w:ilvl w:val="0"/>
          <w:numId w:val="1014"/>
        </w:numPr>
        <w:pStyle w:val="Compact"/>
      </w:pPr>
      <w:r>
        <w:rPr>
          <w:bCs/>
          <w:b/>
        </w:rPr>
        <w:t xml:space="preserve">Renewable Energy at Production:</w:t>
      </w:r>
      <w:r>
        <w:t xml:space="preserve"> </w:t>
      </w:r>
      <w:r>
        <w:t xml:space="preserve">Continue to increase renewable energy usage at the manufacturing facility in China beyond the current 50% to further reduce Scope 2 emissions.</w:t>
      </w:r>
    </w:p>
    <w:p>
      <w:r>
        <w:pict>
          <v:rect style="width:0;height:1.5pt" o:hralign="center" o:hrstd="t" o:hr="t"/>
        </w:pict>
      </w:r>
    </w:p>
    <w:p>
      <w:pPr>
        <w:pStyle w:val="FirstParagraph"/>
      </w:pPr>
      <w:r>
        <w:t xml:space="preserve">Confidential - Internal Use Only | Page</w:t>
      </w:r>
      <w:r>
        <w:t xml:space="preserve"> </w:t>
      </w:r>
      <w:bookmarkStart w:id="49" w:name="pageNumber"/>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sszgvokdij</dc:title>
  <dc:creator/>
  <dc:description>Detailed Product Carbon Footprint (PCF) analysis for sszgvokdij by hslynqyids, adhering to GHG Protocol standards and 2026 LSR update.</dc:description>
  <dc:language>en</dc:language>
  <cp:keywords/>
  <dcterms:created xsi:type="dcterms:W3CDTF">2026-07-15T13:36:10Z</dcterms:created>
  <dcterms:modified xsi:type="dcterms:W3CDTF">2026-07-15T13:36:10Z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