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sstdzxxmix</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sstdzxxmix</w:t>
      </w:r>
    </w:p>
    <w:p>
      <w:pPr>
        <w:pStyle w:val="BodyText"/>
      </w:pPr>
      <w:r>
        <w:rPr>
          <w:bCs/>
          <w:b/>
        </w:rPr>
        <w:t xml:space="preserve">Company:</w:t>
      </w:r>
      <w:r>
        <w:t xml:space="preserve"> </w:t>
      </w:r>
      <w:r>
        <w:t xml:space="preserve">utxzmtfwos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pzqshmzlnr</w:t>
      </w:r>
    </w:p>
    <w:p>
      <w:pPr>
        <w:pStyle w:val="BodyText"/>
      </w:pPr>
      <w:r>
        <w:t xml:space="preserve">This report is generated based on available data and industry standards. While every effort has been made to ensure accuracy, the actual carbon footprint may vary depending on real-time operational data and specific supply chain dynamics.</w:t>
      </w:r>
    </w:p>
    <w:bookmarkEnd w:id="20"/>
    <w:p>
      <w:pPr>
        <w:pStyle w:val="BodyText"/>
      </w:pPr>
      <w:r>
        <w:t xml:space="preserve">Generated Date: May 21, 2026</w:t>
      </w:r>
    </w:p>
    <w:bookmarkStart w:id="21" w:name="executive-summary"/>
    <w:p>
      <w:pPr>
        <w:pStyle w:val="Heading1"/>
      </w:pPr>
      <w:r>
        <w:t xml:space="preserve">Executive Summary</w:t>
      </w:r>
    </w:p>
    <w:p>
      <w:r>
        <w:pict>
          <v:rect style="width:0;height:1.5pt" o:hralign="center" o:hrstd="t" o:hr="t"/>
        </w:pict>
      </w:r>
    </w:p>
    <w:p>
      <w:pPr>
        <w:pStyle w:val="FirstParagraph"/>
      </w:pPr>
      <w:r>
        <w:t xml:space="preserve">This report presents a high-detail Product Carbon Footprint (PCF) analysis for the product "sstdzxxmix" manufactured by "utxzmtfwos", conducted by Senior Sustainability Consultant pzqshmzlnr. The analysis adheres to the GHG Protocol accounting standard, incorporating the latest 2026 Land Sector and Removals (LSR) Standard guidelines and aiming for over 95% Scope 3 coverage. The primary system boundary for the PCF calculation is \'factory_gate\', extended to a modified \'cradle-to-grave\' approach to include the use phase and end-of-life scenarios as per requirements. The total estimated carbon footprint for one functional unit of sstdzxxmix is approximately 38.72 kg CO2e. Key hotspots include the use phase and raw material acquisition, indicating significant opportunities for emission reduction through energy efficiency and material circularity.</w:t>
      </w:r>
    </w:p>
    <w:bookmarkEnd w:id="21"/>
    <w:bookmarkStart w:id="30" w:name="methodology-and-scope-definition"/>
    <w:p>
      <w:pPr>
        <w:pStyle w:val="Heading1"/>
      </w:pPr>
      <w:r>
        <w:t xml:space="preserve">1. Methodology and Scope Definition</w:t>
      </w:r>
    </w:p>
    <w:p>
      <w:r>
        <w:pict>
          <v:rect style="width:0;height:1.5pt" o:hralign="center" o:hrstd="t" o:hr="t"/>
        </w:pict>
      </w:r>
    </w:p>
    <w:p>
      <w:pPr>
        <w:pStyle w:val="FirstParagraph"/>
      </w:pPr>
      <w:r>
        <w:t xml:space="preserve">The Product Carbon Footprint (PCF) analysis for sstdzxxmix follows a structured, five-step methodology in line with recognized Life Cycle Assessment (LCA) principles and the specific requirements of the GHG Protocol.</w:t>
      </w:r>
    </w:p>
    <w:bookmarkStart w:id="22"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The declared functional unit for this analysis is 1.0 unit of "sstdzxxmix".</w:t>
      </w:r>
    </w:p>
    <w:p>
      <w:pPr>
        <w:numPr>
          <w:ilvl w:val="0"/>
          <w:numId w:val="1001"/>
        </w:numPr>
        <w:pStyle w:val="Compact"/>
      </w:pPr>
      <w:r>
        <w:rPr>
          <w:bCs/>
          <w:b/>
        </w:rPr>
        <w:t xml:space="preserve">System Boundary:</w:t>
      </w:r>
      <w:r>
        <w:t xml:space="preserve"> </w:t>
      </w:r>
      <w:r>
        <w:t xml:space="preserve">The primary system boundary for the core PCF calculation for sstdzxxmix is \'factory_gate\' (cradle-to-gate). However, to provide a comprehensive understanding of the product\'s environmental impact across its entire lifecycle and to meet all report parameters, the analysis has been extended to include the use phase and end-of-life stages, effectively following a modified \'cradle-to-grave\' perspective.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(reflecting primary market distribution)</w:t>
      </w:r>
    </w:p>
    <w:p>
      <w:pPr>
        <w:numPr>
          <w:ilvl w:val="0"/>
          <w:numId w:val="1001"/>
        </w:numPr>
        <w:pStyle w:val="Compact"/>
      </w:pPr>
      <w:r>
        <w:rPr>
          <w:bCs/>
          <w:b/>
        </w:rPr>
        <w:t xml:space="preserve">Accounting Standard:</w:t>
      </w:r>
      <w:r>
        <w:t xml:space="preserve"> </w:t>
      </w:r>
      <w:r>
        <w:t xml:space="preserve">The analysis strictly adheres to the Greenhouse Gas (GHG) Protocol. Emissions are categorized into Scope 1 (direct emissions), Scope 2 (purchased energy emissions), and Scope 3 (all other indirect emissions in the value chain). The 2026 Land Sector and Removals (LSR) Standard principles have been conceptually applied, acknowledging that detailed land use data would be required for precise quantification of land-based emissions or removals.</w:t>
      </w:r>
    </w:p>
    <w:p>
      <w:pPr>
        <w:numPr>
          <w:ilvl w:val="0"/>
          <w:numId w:val="1001"/>
        </w:numPr>
        <w:pStyle w:val="Compact"/>
      </w:pPr>
      <w:r>
        <w:rPr>
          <w:bCs/>
          <w:b/>
        </w:rPr>
        <w:t xml:space="preserve">Allocation:</w:t>
      </w:r>
      <w:r>
        <w:t xml:space="preserve"> </w:t>
      </w:r>
      <w:r>
        <w:t xml:space="preserve">For multi-product systems or shared processes, economic allocation methods are assumed where not specified by primary data.</w:t>
      </w:r>
    </w:p>
    <w:bookmarkEnd w:id="22"/>
    <w:bookmarkStart w:id="23" w:name="map-lifecycle-lci-inventory-stages"/>
    <w:p>
      <w:pPr>
        <w:pStyle w:val="Heading2"/>
      </w:pPr>
      <w:r>
        <w:t xml:space="preserve">1.2. Map Lifecycle (LCI Inventory Stages)</w:t>
      </w:r>
    </w:p>
    <w:p>
      <w:pPr>
        <w:pStyle w:val="FirstParagraph"/>
      </w:pPr>
      <w:r>
        <w:t xml:space="preserve">The lifecycle of sstdzxxmix has been mapped into the following stages, facilitating a detailed Life Cycle Inventory (LCI):</w:t>
      </w:r>
    </w:p>
    <w:p>
      <w:pPr>
        <w:numPr>
          <w:ilvl w:val="0"/>
          <w:numId w:val="1003"/>
        </w:numPr>
        <w:pStyle w:val="Compact"/>
      </w:pPr>
      <w:r>
        <w:rPr>
          <w:bCs/>
          <w:b/>
        </w:rPr>
        <w:t xml:space="preserve">Raw Material Acquisition &amp; Pre-processing (Scope 3 - Upstream):</w:t>
      </w:r>
      <w:r>
        <w:t xml:space="preserve"> </w:t>
      </w:r>
      <w:r>
        <w:t xml:space="preserve">Extraction, processing, and manufacturing of all constituent materials as defined in the Bill of Materials.</w:t>
      </w:r>
    </w:p>
    <w:p>
      <w:pPr>
        <w:numPr>
          <w:ilvl w:val="0"/>
          <w:numId w:val="1003"/>
        </w:numPr>
        <w:pStyle w:val="Compact"/>
      </w:pPr>
      <w:r>
        <w:rPr>
          <w:bCs/>
          <w:b/>
        </w:rPr>
        <w:t xml:space="preserve">Production/Manufacturing (Scope 1 &amp; 2):</w:t>
      </w:r>
      <w:r>
        <w:t xml:space="preserve"> </w:t>
      </w:r>
      <w:r>
        <w:t xml:space="preserve">Energy consumption, and direct emissions (if any) during the assembly and manufacturing of sstdzxxmix at the utxzmtfwos facility in China.</w:t>
      </w:r>
    </w:p>
    <w:p>
      <w:pPr>
        <w:numPr>
          <w:ilvl w:val="0"/>
          <w:numId w:val="1003"/>
        </w:numPr>
        <w:pStyle w:val="Compact"/>
      </w:pPr>
      <w:r>
        <w:rPr>
          <w:bCs/>
          <w:b/>
        </w:rPr>
        <w:t xml:space="preserve">Transportation (Scope 3 - Upstream &amp; Downstream):</w:t>
      </w:r>
      <w:r>
        <w:t xml:space="preserve"> </w:t>
      </w:r>
      <w:r>
        <w:t xml:space="preserve">Transportation of raw materials to the manufacturing site (upstream) and transportation of the finished product from the factory gate to the end-user market, including last-mile delivery (downstream).</w:t>
      </w:r>
    </w:p>
    <w:p>
      <w:pPr>
        <w:numPr>
          <w:ilvl w:val="0"/>
          <w:numId w:val="1003"/>
        </w:numPr>
        <w:pStyle w:val="Compact"/>
      </w:pPr>
      <w:r>
        <w:rPr>
          <w:bCs/>
          <w:b/>
        </w:rPr>
        <w:t xml:space="preserve">Use Phase (Scope 3 - Downstream):</w:t>
      </w:r>
      <w:r>
        <w:t xml:space="preserve"> </w:t>
      </w:r>
      <w:r>
        <w:t xml:space="preserve">Energy consumption associated with the product\'s operation over its specified lifespan.</w:t>
      </w:r>
    </w:p>
    <w:p>
      <w:pPr>
        <w:numPr>
          <w:ilvl w:val="0"/>
          <w:numId w:val="1003"/>
        </w:numPr>
        <w:pStyle w:val="Compact"/>
      </w:pPr>
      <w:r>
        <w:rPr>
          <w:bCs/>
          <w:b/>
        </w:rPr>
        <w:t xml:space="preserve">End-of-Life (Scope 3 - Downstream):</w:t>
      </w:r>
      <w:r>
        <w:t xml:space="preserve"> </w:t>
      </w:r>
      <w:r>
        <w:t xml:space="preserve">Processes related to the product\'s disposal, recycling, or recovery at the end of its useful life.</w:t>
      </w:r>
    </w:p>
    <w:bookmarkEnd w:id="23"/>
    <w:bookmarkStart w:id="29" w:name="Xb57f50a89bf1f3f1837369be949d9d60d6c1272"/>
    <w:p>
      <w:pPr>
        <w:pStyle w:val="Heading2"/>
      </w:pPr>
      <w:r>
        <w:t xml:space="preserve">1.3. Collect Data (Primary/Secondary Data Points)</w:t>
      </w:r>
    </w:p>
    <w:p>
      <w:pPr>
        <w:pStyle w:val="FirstParagraph"/>
      </w:pPr>
      <w:r>
        <w:t xml:space="preserve">Data collection integrated both primary and secondary sources to ensure a high level of detail and accuracy.</w:t>
      </w:r>
    </w:p>
    <w:bookmarkStart w:id="24" w:name="detailed-bill-of-materials-bom-tjiywmll"/>
    <w:p>
      <w:pPr>
        <w:pStyle w:val="Heading3"/>
      </w:pPr>
      <w:r>
        <w:t xml:space="preserve">1.3.1. Detailed Bill of Materials (BOM): tjiywmll</w:t>
      </w:r>
    </w:p>
    <w:p>
      <w:pPr>
        <w:pStyle w:val="FirstParagraph"/>
      </w:pPr>
      <w:r>
        <w:t xml:space="preserve">The provided Detailed Bill of Materials (BOM) was used for high-accuracy material impact calculation. The \'Total Carbon (kgCO2e)\' column explicitly details the pre-calculated emissions associated with the acquisition and processing of each material, factoring in the specified quantities and processes.</w:t>
      </w:r>
    </w:p>
    <w:p>
      <w:pPr>
        <w:pStyle w:val="BodyText"/>
      </w:pPr>
      <w:r>
        <w:t xml:space="preserve">The following BOM data was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0.75</w:t>
            </w:r>
          </w:p>
        </w:tc>
        <w:tc>
          <w:tcPr/>
          <w:p>
            <w:pPr>
              <w:pStyle w:val="Compact"/>
              <w:jc w:val="left"/>
            </w:pPr>
            <w:r>
              <w:t xml:space="preserve">kg</w:t>
            </w:r>
          </w:p>
        </w:tc>
        <w:tc>
          <w:tcPr/>
          <w:p>
            <w:pPr>
              <w:pStyle w:val="Compact"/>
              <w:jc w:val="left"/>
            </w:pPr>
            <w:r>
              <w:t xml:space="preserve">8.5</w:t>
            </w:r>
          </w:p>
        </w:tc>
        <w:tc>
          <w:tcPr/>
          <w:p>
            <w:pPr>
              <w:pStyle w:val="Compact"/>
              <w:jc w:val="left"/>
            </w:pPr>
            <w:r>
              <w:t xml:space="preserve">6.375</w:t>
            </w:r>
          </w:p>
        </w:tc>
      </w:tr>
      <w:tr>
        <w:tc>
          <w:tcPr/>
          <w:p>
            <w:pPr>
              <w:pStyle w:val="Compact"/>
              <w:jc w:val="left"/>
            </w:pPr>
            <w:r>
              <w:t xml:space="preserve">102</w:t>
            </w:r>
          </w:p>
        </w:tc>
        <w:tc>
          <w:tcPr/>
          <w:p>
            <w:pPr>
              <w:pStyle w:val="Compact"/>
              <w:jc w:val="left"/>
            </w:pPr>
            <w:r>
              <w:t xml:space="preserve">Recycled ABS Plastic</w:t>
            </w:r>
          </w:p>
        </w:tc>
        <w:tc>
          <w:tcPr/>
          <w:p>
            <w:pPr>
              <w:pStyle w:val="Compact"/>
              <w:jc w:val="left"/>
            </w:pPr>
            <w:r>
              <w:t xml:space="preserve">Polymer</w:t>
            </w:r>
          </w:p>
        </w:tc>
        <w:tc>
          <w:tcPr/>
          <w:p>
            <w:pPr>
              <w:pStyle w:val="Compact"/>
              <w:jc w:val="left"/>
            </w:pPr>
            <w:r>
              <w:t xml:space="preserve">Injection Molding (Recycled)</w:t>
            </w:r>
          </w:p>
        </w:tc>
        <w:tc>
          <w:tcPr/>
          <w:p>
            <w:pPr>
              <w:pStyle w:val="Compact"/>
              <w:jc w:val="left"/>
            </w:pPr>
            <w:r>
              <w:t xml:space="preserve">0.25</w:t>
            </w:r>
          </w:p>
        </w:tc>
        <w:tc>
          <w:tcPr/>
          <w:p>
            <w:pPr>
              <w:pStyle w:val="Compact"/>
              <w:jc w:val="left"/>
            </w:pPr>
            <w:r>
              <w:t xml:space="preserve">kg</w:t>
            </w:r>
          </w:p>
        </w:tc>
        <w:tc>
          <w:tcPr/>
          <w:p>
            <w:pPr>
              <w:pStyle w:val="Compact"/>
              <w:jc w:val="left"/>
            </w:pPr>
            <w:r>
              <w:t xml:space="preserve">1.5</w:t>
            </w:r>
          </w:p>
        </w:tc>
        <w:tc>
          <w:tcPr/>
          <w:p>
            <w:pPr>
              <w:pStyle w:val="Compact"/>
              <w:jc w:val="left"/>
            </w:pPr>
            <w:r>
              <w:t xml:space="preserve">0.375</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Refining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0.300</w:t>
            </w:r>
          </w:p>
        </w:tc>
      </w:tr>
      <w:tr>
        <w:tc>
          <w:tcPr/>
          <w:p>
            <w:pPr>
              <w:pStyle w:val="Compact"/>
              <w:jc w:val="left"/>
            </w:pPr>
            <w:r>
              <w:t xml:space="preserve">104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2.700</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Recycled Paper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0.5</w:t>
            </w:r>
          </w:p>
        </w:tc>
        <w:tc>
          <w:tcPr/>
          <w:p>
            <w:pPr>
              <w:pStyle w:val="Compact"/>
              <w:jc w:val="left"/>
            </w:pPr>
            <w:r>
              <w:t xml:space="preserve">0.040</w:t>
            </w:r>
          </w:p>
        </w:tc>
      </w:tr>
    </w:tbl>
    <w:p>
      <w:pPr>
        <w:pStyle w:val="BodyText"/>
      </w:pPr>
      <w:r>
        <w:rPr>
          <w:bCs/>
          <w:b/>
        </w:rPr>
        <w:t xml:space="preserve">Total Material Carbon Impact: 11.04 kg CO2e</w:t>
      </w:r>
    </w:p>
    <w:bookmarkEnd w:id="24"/>
    <w:bookmarkStart w:id="25" w:name="energy-inputs-production-phase"/>
    <w:p>
      <w:pPr>
        <w:pStyle w:val="Heading3"/>
      </w:pPr>
      <w:r>
        <w:t xml:space="preserve">1.3.2. Energy Inputs (Production Phase)</w:t>
      </w:r>
    </w:p>
    <w:p>
      <w:pPr>
        <w:numPr>
          <w:ilvl w:val="0"/>
          <w:numId w:val="1004"/>
        </w:numPr>
        <w:pStyle w:val="Compact"/>
      </w:pPr>
      <w:r>
        <w:t xml:space="preserve">Renewable Energy Usage: xzqvskqseu (assumed 60%)</w:t>
      </w:r>
    </w:p>
    <w:p>
      <w:pPr>
        <w:numPr>
          <w:ilvl w:val="0"/>
          <w:numId w:val="1004"/>
        </w:numPr>
        <w:pStyle w:val="Compact"/>
      </w:pPr>
      <w:r>
        <w:t xml:space="preserve">Energy Intensity (kWh/unit): ppuwpwfqzy (assumed 15 kWh/unit)</w:t>
      </w:r>
    </w:p>
    <w:p>
      <w:pPr>
        <w:numPr>
          <w:ilvl w:val="0"/>
          <w:numId w:val="1004"/>
        </w:numPr>
        <w:pStyle w:val="Compact"/>
      </w:pPr>
      <w:r>
        <w:t xml:space="preserve">Non-renewable electricity grid mix (China): 0.7 kg CO2e/kWh</w:t>
      </w:r>
    </w:p>
    <w:bookmarkEnd w:id="25"/>
    <w:bookmarkStart w:id="26" w:name="logistics-data"/>
    <w:p>
      <w:pPr>
        <w:pStyle w:val="Heading3"/>
      </w:pPr>
      <w:r>
        <w:t xml:space="preserve">1.3.3. Logistics Data</w:t>
      </w:r>
    </w:p>
    <w:p>
      <w:pPr>
        <w:numPr>
          <w:ilvl w:val="0"/>
          <w:numId w:val="1005"/>
        </w:numPr>
        <w:pStyle w:val="Compact"/>
      </w:pPr>
      <w:r>
        <w:t xml:space="preserve">Transport Mode: Select Mode (assumed Road Freight - Heavy Duty Truck for main transport)</w:t>
      </w:r>
    </w:p>
    <w:p>
      <w:pPr>
        <w:numPr>
          <w:ilvl w:val="0"/>
          <w:numId w:val="1005"/>
        </w:numPr>
        <w:pStyle w:val="Compact"/>
      </w:pPr>
      <w:r>
        <w:t xml:space="preserve">Transport Distance: jzurjrhnvi (assumed 2000 km for factory to market)</w:t>
      </w:r>
    </w:p>
    <w:p>
      <w:pPr>
        <w:numPr>
          <w:ilvl w:val="0"/>
          <w:numId w:val="1005"/>
        </w:numPr>
        <w:pStyle w:val="Compact"/>
      </w:pPr>
      <w:r>
        <w:t xml:space="preserve">Last-Mile Delivery Channel: Delivery Type (assumed Parcel Courier Van for 100 km)</w:t>
      </w:r>
    </w:p>
    <w:p>
      <w:pPr>
        <w:numPr>
          <w:ilvl w:val="0"/>
          <w:numId w:val="1005"/>
        </w:numPr>
        <w:pStyle w:val="Compact"/>
      </w:pPr>
      <w:r>
        <w:t xml:space="preserve">Emission factor for Road Freight: 0.0001 kg CO2e/kg-km</w:t>
      </w:r>
    </w:p>
    <w:p>
      <w:pPr>
        <w:numPr>
          <w:ilvl w:val="0"/>
          <w:numId w:val="1005"/>
        </w:numPr>
        <w:pStyle w:val="Compact"/>
      </w:pPr>
      <w:r>
        <w:t xml:space="preserve">Emission factor for Parcel Courier Van: 1.5 kg CO2e/unit (assumed average per package delivered)</w:t>
      </w:r>
    </w:p>
    <w:bookmarkEnd w:id="26"/>
    <w:bookmarkStart w:id="27" w:name="use-phase-data"/>
    <w:p>
      <w:pPr>
        <w:pStyle w:val="Heading3"/>
      </w:pPr>
      <w:r>
        <w:t xml:space="preserve">1.3.4. Use Phase Data</w:t>
      </w:r>
    </w:p>
    <w:p>
      <w:pPr>
        <w:numPr>
          <w:ilvl w:val="0"/>
          <w:numId w:val="1006"/>
        </w:numPr>
        <w:pStyle w:val="Compact"/>
      </w:pPr>
      <w:r>
        <w:t xml:space="preserve">Product Lifespan: nuhhlpnhoo (assumed 3 years)</w:t>
      </w:r>
    </w:p>
    <w:p>
      <w:pPr>
        <w:numPr>
          <w:ilvl w:val="0"/>
          <w:numId w:val="1006"/>
        </w:numPr>
        <w:pStyle w:val="Compact"/>
      </w:pPr>
      <w:r>
        <w:t xml:space="preserve">Energy Consumption in Use: lxdrrtrhll (assumed 25 kWh/year)</w:t>
      </w:r>
    </w:p>
    <w:p>
      <w:pPr>
        <w:numPr>
          <w:ilvl w:val="0"/>
          <w:numId w:val="1006"/>
        </w:numPr>
        <w:pStyle w:val="Compact"/>
      </w:pPr>
      <w:r>
        <w:t xml:space="preserve">Average electricity grid mix (EU, for user consumption): 0.3 kg CO2e/kWh</w:t>
      </w:r>
    </w:p>
    <w:bookmarkEnd w:id="27"/>
    <w:bookmarkStart w:id="28" w:name="end-of-life-eol-data"/>
    <w:p>
      <w:pPr>
        <w:pStyle w:val="Heading3"/>
      </w:pPr>
      <w:r>
        <w:t xml:space="preserve">1.3.5. End-of-Life (EoL) Data</w:t>
      </w:r>
    </w:p>
    <w:p>
      <w:pPr>
        <w:numPr>
          <w:ilvl w:val="0"/>
          <w:numId w:val="1007"/>
        </w:numPr>
        <w:pStyle w:val="Compact"/>
      </w:pPr>
      <w:r>
        <w:t xml:space="preserve">Recyclability Percentage: zegvklufyg (assumed 75%)</w:t>
      </w:r>
    </w:p>
    <w:p>
      <w:pPr>
        <w:numPr>
          <w:ilvl w:val="0"/>
          <w:numId w:val="1007"/>
        </w:numPr>
        <w:pStyle w:val="Compact"/>
      </w:pPr>
      <w:r>
        <w:t xml:space="preserve">Circular/Take-back Programs: mrxxnkvldw (Established for key components)</w:t>
      </w:r>
    </w:p>
    <w:p>
      <w:pPr>
        <w:numPr>
          <w:ilvl w:val="0"/>
          <w:numId w:val="1007"/>
        </w:numPr>
        <w:pStyle w:val="Compact"/>
      </w:pPr>
      <w:r>
        <w:t xml:space="preserve">Recycling credit (average for mixed recyclables): -1.0 kg CO2e/kg</w:t>
      </w:r>
    </w:p>
    <w:p>
      <w:pPr>
        <w:numPr>
          <w:ilvl w:val="0"/>
          <w:numId w:val="1007"/>
        </w:numPr>
        <w:pStyle w:val="Compact"/>
      </w:pPr>
      <w:r>
        <w:t xml:space="preserve">Disposal emissions (landfill/incineration): 0.5 kg CO2e/kg</w:t>
      </w:r>
    </w:p>
    <w:p>
      <w:pPr>
        <w:pStyle w:val="FirstParagraph"/>
      </w:pPr>
      <w:r>
        <w:t xml:space="preserve">Secondary data for emission factors were sourced from industry-standard databases, representing values akin to those found in Ecoinvent or DEFRA databases.</w:t>
      </w:r>
    </w:p>
    <w:bookmarkEnd w:id="28"/>
    <w:bookmarkEnd w:id="29"/>
    <w:bookmarkEnd w:id="30"/>
    <w:bookmarkStart w:id="41" w:name="X2c62247db19834934c44c209ad423fe06ba5c64"/>
    <w:p>
      <w:pPr>
        <w:pStyle w:val="Heading1"/>
      </w:pPr>
      <w:r>
        <w:t xml:space="preserve">2. Calculation of Emissions (Activity * Emission Factor = CO2e)</w:t>
      </w:r>
    </w:p>
    <w:p>
      <w:r>
        <w:pict>
          <v:rect style="width:0;height:1.5pt" o:hralign="center" o:hrstd="t" o:hr="t"/>
        </w:pict>
      </w:r>
    </w:p>
    <w:p>
      <w:pPr>
        <w:pStyle w:val="FirstParagraph"/>
      </w:pPr>
      <w:r>
        <w:t xml:space="preserve">Emissions for each lifecycle stage are calculated by multiplying activity data (e.g., kg of material, kWh of energy, km of transport) by their respective emission factors (kg CO2e per unit of activity).</w:t>
      </w:r>
    </w:p>
    <w:bookmarkStart w:id="31" w:name="X7018709a5f7541156896bab18d849e4b678313a"/>
    <w:p>
      <w:pPr>
        <w:pStyle w:val="Heading2"/>
      </w:pPr>
      <w:r>
        <w:t xml:space="preserve">2.1. Raw Material Acquisition &amp; Pre-processing (Scope 3 - Purchased Goods &amp; Services)</w:t>
      </w:r>
    </w:p>
    <w:p>
      <w:pPr>
        <w:pStyle w:val="FirstParagraph"/>
      </w:pPr>
      <w:r>
        <w:t xml:space="preserve">Based on the provided BOM, the total carbon impact from material acquisition and pre-processing is the sum of the \'Total Carbon\' column.</w:t>
      </w:r>
    </w:p>
    <w:p>
      <w:pPr>
        <w:pStyle w:val="BodyText"/>
      </w:pPr>
      <w:r>
        <w:rPr>
          <w:bCs/>
          <w:b/>
        </w:rPr>
        <w:t xml:space="preserve">Total Emissions (Materials): 11.04 kg CO2e</w:t>
      </w:r>
    </w:p>
    <w:bookmarkEnd w:id="31"/>
    <w:bookmarkStart w:id="32" w:name="X6a6060e747d291ae6659e05586b3833a190987b"/>
    <w:p>
      <w:pPr>
        <w:pStyle w:val="Heading2"/>
      </w:pPr>
      <w:r>
        <w:t xml:space="preserve">2.2. Production/Manufacturing Emissions (Scope 2 - Purchased Electricity)</w:t>
      </w:r>
    </w:p>
    <w:p>
      <w:pPr>
        <w:pStyle w:val="FirstParagraph"/>
      </w:pPr>
      <w:r>
        <w:t xml:space="preserve">Emissions from the production phase are primarily due to purchased electricity.</w:t>
      </w:r>
    </w:p>
    <w:p>
      <w:pPr>
        <w:numPr>
          <w:ilvl w:val="0"/>
          <w:numId w:val="1008"/>
        </w:numPr>
        <w:pStyle w:val="Compact"/>
      </w:pPr>
      <w:r>
        <w:t xml:space="preserve">Energy Intensity: 15 kWh/unit</w:t>
      </w:r>
    </w:p>
    <w:p>
      <w:pPr>
        <w:numPr>
          <w:ilvl w:val="0"/>
          <w:numId w:val="1008"/>
        </w:numPr>
        <w:pStyle w:val="Compact"/>
      </w:pPr>
      <w:r>
        <w:t xml:space="preserve">Renewable Energy Usage: 60%</w:t>
      </w:r>
    </w:p>
    <w:p>
      <w:pPr>
        <w:numPr>
          <w:ilvl w:val="0"/>
          <w:numId w:val="1008"/>
        </w:numPr>
        <w:pStyle w:val="Compact"/>
      </w:pPr>
      <w:r>
        <w:t xml:space="preserve">Non-renewable electricity consumed: 15 kWh/unit * (1 - 0.60) = 6 kWh/unit</w:t>
      </w:r>
    </w:p>
    <w:p>
      <w:pPr>
        <w:numPr>
          <w:ilvl w:val="0"/>
          <w:numId w:val="1008"/>
        </w:numPr>
        <w:pStyle w:val="Compact"/>
      </w:pPr>
      <w:r>
        <w:t xml:space="preserve">Emission Factor (China Grid Mix): 0.7 kg CO2e/kWh</w:t>
      </w:r>
    </w:p>
    <w:p>
      <w:pPr>
        <w:numPr>
          <w:ilvl w:val="0"/>
          <w:numId w:val="1008"/>
        </w:numPr>
        <w:pStyle w:val="Compact"/>
      </w:pPr>
      <w:r>
        <w:rPr>
          <w:bCs/>
          <w:b/>
        </w:rPr>
        <w:t xml:space="preserve">Production Emissions:</w:t>
      </w:r>
      <w:r>
        <w:t xml:space="preserve"> </w:t>
      </w:r>
      <w:r>
        <w:t xml:space="preserve">6 kWh/unit * 0.7 kg CO2e/kWh =</w:t>
      </w:r>
      <w:r>
        <w:t xml:space="preserve"> </w:t>
      </w:r>
      <w:r>
        <w:rPr>
          <w:bCs/>
          <w:b/>
        </w:rPr>
        <w:t xml:space="preserve">4.20 kg CO2e</w:t>
      </w:r>
    </w:p>
    <w:p>
      <w:pPr>
        <w:pStyle w:val="FirstParagraph"/>
      </w:pPr>
      <w:r>
        <w:t xml:space="preserve">(Note: Assuming no significant direct (Scope 1) emissions from manufacturing processes for this product based on provided parameters.)</w:t>
      </w:r>
    </w:p>
    <w:bookmarkEnd w:id="32"/>
    <w:bookmarkStart w:id="36" w:name="Xa0604b3f50f1ec649b53adaccabc007153b1827"/>
    <w:p>
      <w:pPr>
        <w:pStyle w:val="Heading2"/>
      </w:pPr>
      <w:r>
        <w:t xml:space="preserve">2.3. Transportation Emissions (Scope 3 - Upstream &amp; Downstream)</w:t>
      </w:r>
    </w:p>
    <w:p>
      <w:pPr>
        <w:pStyle w:val="FirstParagraph"/>
      </w:pPr>
      <w:r>
        <w:t xml:space="preserve">Transportation emissions cover the movement of materials to the factory and the finished product to the end-user. The total weight of one sstdzxxmix unit (including packaging materials from BOM) is approximately 1.38 kg.</w:t>
      </w:r>
    </w:p>
    <w:bookmarkStart w:id="33" w:name="X294b5708db904c06239af4cfaf4b0383253cd27"/>
    <w:p>
      <w:pPr>
        <w:pStyle w:val="Heading3"/>
      </w:pPr>
      <w:r>
        <w:t xml:space="preserve">2.3.1. Upstream Transport (Raw Materials to Factory in China)</w:t>
      </w:r>
    </w:p>
    <w:p>
      <w:pPr>
        <w:numPr>
          <w:ilvl w:val="0"/>
          <w:numId w:val="1009"/>
        </w:numPr>
        <w:pStyle w:val="Compact"/>
      </w:pPr>
      <w:r>
        <w:t xml:space="preserve">Assumed average upstream distance: 500 km (Road Freight)</w:t>
      </w:r>
    </w:p>
    <w:p>
      <w:pPr>
        <w:numPr>
          <w:ilvl w:val="0"/>
          <w:numId w:val="1009"/>
        </w:numPr>
        <w:pStyle w:val="Compact"/>
      </w:pPr>
      <w:r>
        <w:t xml:space="preserve">Emission Factor (Road Freight): 0.0001 kg CO2e/kg-km</w:t>
      </w:r>
    </w:p>
    <w:p>
      <w:pPr>
        <w:numPr>
          <w:ilvl w:val="0"/>
          <w:numId w:val="1009"/>
        </w:numPr>
        <w:pStyle w:val="Compact"/>
      </w:pPr>
      <w:r>
        <w:rPr>
          <w:bCs/>
          <w:b/>
        </w:rPr>
        <w:t xml:space="preserve">Upstream Transport Emissions:</w:t>
      </w:r>
      <w:r>
        <w:t xml:space="preserve"> </w:t>
      </w:r>
      <w:r>
        <w:t xml:space="preserve">1.38 kg * 0.0001 kg CO2e/kg-km * 500 km =</w:t>
      </w:r>
      <w:r>
        <w:t xml:space="preserve"> </w:t>
      </w:r>
      <w:r>
        <w:rPr>
          <w:bCs/>
          <w:b/>
        </w:rPr>
        <w:t xml:space="preserve">0.069 kg CO2e</w:t>
      </w:r>
    </w:p>
    <w:bookmarkEnd w:id="33"/>
    <w:bookmarkStart w:id="34" w:name="X6107212558898a60458105ee9a69543b4948c81"/>
    <w:p>
      <w:pPr>
        <w:pStyle w:val="Heading3"/>
      </w:pPr>
      <w:r>
        <w:t xml:space="preserve">2.3.2. Transport to Market (Factory Gate to Europe Distribution Center)</w:t>
      </w:r>
    </w:p>
    <w:p>
      <w:pPr>
        <w:numPr>
          <w:ilvl w:val="0"/>
          <w:numId w:val="1010"/>
        </w:numPr>
        <w:pStyle w:val="Compact"/>
      </w:pPr>
      <w:r>
        <w:t xml:space="preserve">Product Weight: 1.38 kg</w:t>
      </w:r>
    </w:p>
    <w:p>
      <w:pPr>
        <w:numPr>
          <w:ilvl w:val="0"/>
          <w:numId w:val="1010"/>
        </w:numPr>
        <w:pStyle w:val="Compact"/>
      </w:pPr>
      <w:r>
        <w:t xml:space="preserve">Distance (jzurjrhnvi): 2000 km (assumed Road Freight)</w:t>
      </w:r>
    </w:p>
    <w:p>
      <w:pPr>
        <w:numPr>
          <w:ilvl w:val="0"/>
          <w:numId w:val="1010"/>
        </w:numPr>
        <w:pStyle w:val="Compact"/>
      </w:pPr>
      <w:r>
        <w:t xml:space="preserve">Emission Factor (Road Freight): 0.0001 kg CO2e/kg-km</w:t>
      </w:r>
    </w:p>
    <w:p>
      <w:pPr>
        <w:numPr>
          <w:ilvl w:val="0"/>
          <w:numId w:val="1010"/>
        </w:numPr>
        <w:pStyle w:val="Compact"/>
      </w:pPr>
      <w:r>
        <w:rPr>
          <w:bCs/>
          <w:b/>
        </w:rPr>
        <w:t xml:space="preserve">Transport to Market Emissions:</w:t>
      </w:r>
      <w:r>
        <w:t xml:space="preserve"> </w:t>
      </w:r>
      <w:r>
        <w:t xml:space="preserve">1.38 kg * 0.0001 kg CO2e/kg-km * 2000 km =</w:t>
      </w:r>
      <w:r>
        <w:t xml:space="preserve"> </w:t>
      </w:r>
      <w:r>
        <w:rPr>
          <w:bCs/>
          <w:b/>
        </w:rPr>
        <w:t xml:space="preserve">0.276 kg CO2e</w:t>
      </w:r>
    </w:p>
    <w:bookmarkEnd w:id="34"/>
    <w:bookmarkStart w:id="35" w:name="last-mile-delivery-to-end-user"/>
    <w:p>
      <w:pPr>
        <w:pStyle w:val="Heading3"/>
      </w:pPr>
      <w:r>
        <w:t xml:space="preserve">2.3.3. Last-Mile Delivery (to End User)</w:t>
      </w:r>
    </w:p>
    <w:p>
      <w:pPr>
        <w:numPr>
          <w:ilvl w:val="0"/>
          <w:numId w:val="1011"/>
        </w:numPr>
        <w:pStyle w:val="Compact"/>
      </w:pPr>
      <w:r>
        <w:t xml:space="preserve">Mode: Parcel Courier Van</w:t>
      </w:r>
    </w:p>
    <w:p>
      <w:pPr>
        <w:numPr>
          <w:ilvl w:val="0"/>
          <w:numId w:val="1011"/>
        </w:numPr>
        <w:pStyle w:val="Compact"/>
      </w:pPr>
      <w:r>
        <w:t xml:space="preserve">Emission Factor: 1.5 kg CO2e per unit (assumed average for parcel delivery)</w:t>
      </w:r>
    </w:p>
    <w:p>
      <w:pPr>
        <w:numPr>
          <w:ilvl w:val="0"/>
          <w:numId w:val="1011"/>
        </w:numPr>
        <w:pStyle w:val="Compact"/>
      </w:pPr>
      <w:r>
        <w:rPr>
          <w:bCs/>
          <w:b/>
        </w:rPr>
        <w:t xml:space="preserve">Last-Mile Delivery Emissions:</w:t>
      </w:r>
      <w:r>
        <w:t xml:space="preserve"> </w:t>
      </w:r>
      <w:r>
        <w:t xml:space="preserve">1.0 unit * 1.5 kg CO2e/unit =</w:t>
      </w:r>
      <w:r>
        <w:t xml:space="preserve"> </w:t>
      </w:r>
      <w:r>
        <w:rPr>
          <w:bCs/>
          <w:b/>
        </w:rPr>
        <w:t xml:space="preserve">1.50 kg CO2e</w:t>
      </w:r>
    </w:p>
    <w:p>
      <w:pPr>
        <w:pStyle w:val="FirstParagraph"/>
      </w:pPr>
      <w:r>
        <w:rPr>
          <w:bCs/>
          <w:b/>
        </w:rPr>
        <w:t xml:space="preserve">Total Emissions (Transportation): 0.069 + 0.276 + 1.50 = 1.845 kg CO2e</w:t>
      </w:r>
    </w:p>
    <w:bookmarkEnd w:id="35"/>
    <w:bookmarkEnd w:id="36"/>
    <w:bookmarkStart w:id="37" w:name="X2adfac5aa7dbca0513c98e08e161f200d94593c"/>
    <w:p>
      <w:pPr>
        <w:pStyle w:val="Heading2"/>
      </w:pPr>
      <w:r>
        <w:t xml:space="preserve">2.4. Use Phase Emissions (Scope 3 - Use of Sold Products)</w:t>
      </w:r>
    </w:p>
    <w:p>
      <w:pPr>
        <w:pStyle w:val="FirstParagraph"/>
      </w:pPr>
      <w:r>
        <w:t xml:space="preserve">The use phase accounts for the energy consumed by the product during its operational life.</w:t>
      </w:r>
    </w:p>
    <w:p>
      <w:pPr>
        <w:numPr>
          <w:ilvl w:val="0"/>
          <w:numId w:val="1012"/>
        </w:numPr>
        <w:pStyle w:val="Compact"/>
      </w:pPr>
      <w:r>
        <w:t xml:space="preserve">Product Lifespan (nuhhlpnhoo): 3 years</w:t>
      </w:r>
    </w:p>
    <w:p>
      <w:pPr>
        <w:numPr>
          <w:ilvl w:val="0"/>
          <w:numId w:val="1012"/>
        </w:numPr>
        <w:pStyle w:val="Compact"/>
      </w:pPr>
      <w:r>
        <w:t xml:space="preserve">Energy Consumption in Use (lxdrrtrhll): 25 kWh/year</w:t>
      </w:r>
    </w:p>
    <w:p>
      <w:pPr>
        <w:numPr>
          <w:ilvl w:val="0"/>
          <w:numId w:val="1012"/>
        </w:numPr>
        <w:pStyle w:val="Compact"/>
      </w:pPr>
      <w:r>
        <w:t xml:space="preserve">Total energy over lifespan: 25 kWh/year * 3 years = 75 kWh</w:t>
      </w:r>
    </w:p>
    <w:p>
      <w:pPr>
        <w:numPr>
          <w:ilvl w:val="0"/>
          <w:numId w:val="1012"/>
        </w:numPr>
        <w:pStyle w:val="Compact"/>
      </w:pPr>
      <w:r>
        <w:t xml:space="preserve">Assumed user electricity mix (EU average): 0.3 kg CO2e/kWh</w:t>
      </w:r>
    </w:p>
    <w:p>
      <w:pPr>
        <w:numPr>
          <w:ilvl w:val="0"/>
          <w:numId w:val="1012"/>
        </w:numPr>
        <w:pStyle w:val="Compact"/>
      </w:pPr>
      <w:r>
        <w:rPr>
          <w:bCs/>
          <w:b/>
        </w:rPr>
        <w:t xml:space="preserve">Use Phase Emissions:</w:t>
      </w:r>
      <w:r>
        <w:t xml:space="preserve"> </w:t>
      </w:r>
      <w:r>
        <w:t xml:space="preserve">75 kWh * 0.3 kg CO2e/kWh =</w:t>
      </w:r>
      <w:r>
        <w:t xml:space="preserve"> </w:t>
      </w:r>
      <w:r>
        <w:rPr>
          <w:bCs/>
          <w:b/>
        </w:rPr>
        <w:t xml:space="preserve">22.50 kg CO2e</w:t>
      </w:r>
    </w:p>
    <w:bookmarkEnd w:id="37"/>
    <w:bookmarkStart w:id="40" w:name="X5d99ac0bd02b7a9c1cea59930bc64334b22d242"/>
    <w:p>
      <w:pPr>
        <w:pStyle w:val="Heading2"/>
      </w:pPr>
      <w:r>
        <w:t xml:space="preserve">2.5. End-of-Life (EoL) Emissions (Scope 3 - End-of-Life Treatment of Sold Products)</w:t>
      </w:r>
    </w:p>
    <w:p>
      <w:pPr>
        <w:pStyle w:val="FirstParagraph"/>
      </w:pPr>
      <w:r>
        <w:t xml:space="preserve">End-of-life impacts are calculated considering recyclability and disposal.</w:t>
      </w:r>
    </w:p>
    <w:p>
      <w:pPr>
        <w:numPr>
          <w:ilvl w:val="0"/>
          <w:numId w:val="1013"/>
        </w:numPr>
        <w:pStyle w:val="Compact"/>
      </w:pPr>
      <w:r>
        <w:t xml:space="preserve">Total Product Weight: 1.38 kg</w:t>
      </w:r>
    </w:p>
    <w:p>
      <w:pPr>
        <w:numPr>
          <w:ilvl w:val="0"/>
          <w:numId w:val="1013"/>
        </w:numPr>
        <w:pStyle w:val="Compact"/>
      </w:pPr>
      <w:r>
        <w:t xml:space="preserve">Recyclability Percentage (zegvklufyg): 75%</w:t>
      </w:r>
    </w:p>
    <w:p>
      <w:pPr>
        <w:numPr>
          <w:ilvl w:val="0"/>
          <w:numId w:val="1013"/>
        </w:numPr>
        <w:pStyle w:val="Compact"/>
      </w:pPr>
      <w:r>
        <w:t xml:space="preserve">Recycled Portion: 1.38 kg * 0.75 = 1.035 kg</w:t>
      </w:r>
    </w:p>
    <w:p>
      <w:pPr>
        <w:numPr>
          <w:ilvl w:val="0"/>
          <w:numId w:val="1013"/>
        </w:numPr>
        <w:pStyle w:val="Compact"/>
      </w:pPr>
      <w:r>
        <w:t xml:space="preserve">Non-recycled Portion: 1.38 kg * 0.25 = 0.345 kg</w:t>
      </w:r>
    </w:p>
    <w:bookmarkStart w:id="38" w:name="recycling-creditsemissions"/>
    <w:p>
      <w:pPr>
        <w:pStyle w:val="Heading3"/>
      </w:pPr>
      <w:r>
        <w:t xml:space="preserve">2.5.1. Recycling Credits/Emissions</w:t>
      </w:r>
    </w:p>
    <w:p>
      <w:pPr>
        <w:pStyle w:val="FirstParagraph"/>
      </w:pPr>
      <w:r>
        <w:t xml:space="preserve">Assuming a net credit for materials successfully recycled, avoiding primary production.</w:t>
      </w:r>
    </w:p>
    <w:p>
      <w:pPr>
        <w:numPr>
          <w:ilvl w:val="0"/>
          <w:numId w:val="1014"/>
        </w:numPr>
        <w:pStyle w:val="Compact"/>
      </w:pPr>
      <w:r>
        <w:t xml:space="preserve">Recycling Credit Factor: -1.0 kg CO2e/kg (average for mixed recyclables)</w:t>
      </w:r>
    </w:p>
    <w:p>
      <w:pPr>
        <w:numPr>
          <w:ilvl w:val="0"/>
          <w:numId w:val="1014"/>
        </w:numPr>
        <w:pStyle w:val="Compact"/>
      </w:pPr>
      <w:r>
        <w:rPr>
          <w:bCs/>
          <w:b/>
        </w:rPr>
        <w:t xml:space="preserve">Recycling Credit:</w:t>
      </w:r>
      <w:r>
        <w:t xml:space="preserve"> </w:t>
      </w:r>
      <w:r>
        <w:t xml:space="preserve">1.035 kg * -1.0 kg CO2e/kg =</w:t>
      </w:r>
      <w:r>
        <w:t xml:space="preserve"> </w:t>
      </w:r>
      <w:r>
        <w:rPr>
          <w:bCs/>
          <w:b/>
        </w:rPr>
        <w:t xml:space="preserve">-1.035 kg CO2e</w:t>
      </w:r>
    </w:p>
    <w:bookmarkEnd w:id="38"/>
    <w:bookmarkStart w:id="39" w:name="disposal-emissions-landfillincineration"/>
    <w:p>
      <w:pPr>
        <w:pStyle w:val="Heading3"/>
      </w:pPr>
      <w:r>
        <w:t xml:space="preserve">2.5.2. Disposal Emissions (Landfill/Incineration)</w:t>
      </w:r>
    </w:p>
    <w:p>
      <w:pPr>
        <w:pStyle w:val="FirstParagraph"/>
      </w:pPr>
      <w:r>
        <w:t xml:space="preserve">Emissions from the non-recycled portion being landfilled or incinerated.</w:t>
      </w:r>
    </w:p>
    <w:p>
      <w:pPr>
        <w:numPr>
          <w:ilvl w:val="0"/>
          <w:numId w:val="1015"/>
        </w:numPr>
        <w:pStyle w:val="Compact"/>
      </w:pPr>
      <w:r>
        <w:t xml:space="preserve">Disposal Emission Factor: 0.5 kg CO2e/kg (average)</w:t>
      </w:r>
    </w:p>
    <w:p>
      <w:pPr>
        <w:numPr>
          <w:ilvl w:val="0"/>
          <w:numId w:val="1015"/>
        </w:numPr>
        <w:pStyle w:val="Compact"/>
      </w:pPr>
      <w:r>
        <w:rPr>
          <w:bCs/>
          <w:b/>
        </w:rPr>
        <w:t xml:space="preserve">Disposal Emissions:</w:t>
      </w:r>
      <w:r>
        <w:t xml:space="preserve"> </w:t>
      </w:r>
      <w:r>
        <w:t xml:space="preserve">0.345 kg * 0.5 kg CO2e/kg =</w:t>
      </w:r>
      <w:r>
        <w:t xml:space="preserve"> </w:t>
      </w:r>
      <w:r>
        <w:rPr>
          <w:bCs/>
          <w:b/>
        </w:rPr>
        <w:t xml:space="preserve">0.1725 kg CO2e</w:t>
      </w:r>
    </w:p>
    <w:p>
      <w:pPr>
        <w:pStyle w:val="FirstParagraph"/>
      </w:pPr>
      <w:r>
        <w:rPr>
          <w:bCs/>
          <w:b/>
        </w:rPr>
        <w:t xml:space="preserve">Total Emissions (End-of-Life): -1.035 + 0.1725 = -0.8625 kg CO2e</w:t>
      </w:r>
      <w:r>
        <w:t xml:space="preserve"> </w:t>
      </w:r>
      <w:r>
        <w:t xml:space="preserve">(Net credit)</w:t>
      </w:r>
    </w:p>
    <w:p>
      <w:pPr>
        <w:pStyle w:val="BodyText"/>
      </w:pPr>
      <w:r>
        <w:t xml:space="preserve">The presence of "Circular/Take-back Programs: mrxxnkvldw" (Established for key components) further enhances the potential for higher actual recycling rates and more efficient material recovery, potentially leading to greater carbon credits or reduced disposal burdens than calculated here, pending specific program data.</w:t>
      </w:r>
    </w:p>
    <w:bookmarkEnd w:id="39"/>
    <w:bookmarkEnd w:id="40"/>
    <w:bookmarkEnd w:id="41"/>
    <w:bookmarkStart w:id="45" w:name="review-report"/>
    <w:p>
      <w:pPr>
        <w:pStyle w:val="Heading1"/>
      </w:pPr>
      <w:r>
        <w:t xml:space="preserve">3. Review &amp; Report</w:t>
      </w:r>
    </w:p>
    <w:p>
      <w:r>
        <w:pict>
          <v:rect style="width:0;height:1.5pt" o:hralign="center" o:hrstd="t" o:hr="t"/>
        </w:pict>
      </w:r>
    </w:p>
    <w:bookmarkStart w:id="42" w:name="overall-product-carbon-footprint-summary"/>
    <w:p>
      <w:pPr>
        <w:pStyle w:val="Heading2"/>
      </w:pPr>
      <w:r>
        <w:t xml:space="preserve">3.1. Overall Product Carbon Footprint Summary</w:t>
      </w:r>
    </w:p>
    <w:p>
      <w:pPr>
        <w:pStyle w:val="FirstParagraph"/>
      </w:pPr>
      <w:r>
        <w:t xml:space="preserve">The aggregated Product Carbon Footprint for one functional unit of sstdzxxmix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11.040</w:t>
            </w:r>
          </w:p>
        </w:tc>
        <w:tc>
          <w:tcPr/>
          <w:p>
            <w:pPr>
              <w:pStyle w:val="Compact"/>
              <w:jc w:val="left"/>
            </w:pPr>
            <w:r>
              <w:t xml:space="preserve">28.5%</w:t>
            </w:r>
          </w:p>
        </w:tc>
      </w:tr>
      <w:tr>
        <w:tc>
          <w:tcPr/>
          <w:p>
            <w:pPr>
              <w:pStyle w:val="Compact"/>
              <w:jc w:val="left"/>
            </w:pPr>
            <w:r>
              <w:t xml:space="preserve">Production/Manufacturing</w:t>
            </w:r>
          </w:p>
        </w:tc>
        <w:tc>
          <w:tcPr/>
          <w:p>
            <w:pPr>
              <w:pStyle w:val="Compact"/>
              <w:jc w:val="left"/>
            </w:pPr>
            <w:r>
              <w:t xml:space="preserve">Scope 2</w:t>
            </w:r>
          </w:p>
        </w:tc>
        <w:tc>
          <w:tcPr/>
          <w:p>
            <w:pPr>
              <w:pStyle w:val="Compact"/>
              <w:jc w:val="left"/>
            </w:pPr>
            <w:r>
              <w:t xml:space="preserve">4.200</w:t>
            </w:r>
          </w:p>
        </w:tc>
        <w:tc>
          <w:tcPr/>
          <w:p>
            <w:pPr>
              <w:pStyle w:val="Compact"/>
              <w:jc w:val="left"/>
            </w:pPr>
            <w:r>
              <w:t xml:space="preserve">10.8%</w:t>
            </w:r>
          </w:p>
        </w:tc>
      </w:tr>
      <w:tr>
        <w:tc>
          <w:tcPr/>
          <w:p>
            <w:pPr>
              <w:pStyle w:val="Compact"/>
              <w:jc w:val="left"/>
            </w:pPr>
            <w:r>
              <w:t xml:space="preserve">Transportation (Upstream &amp; Downstream)</w:t>
            </w:r>
          </w:p>
        </w:tc>
        <w:tc>
          <w:tcPr/>
          <w:p>
            <w:pPr>
              <w:pStyle w:val="Compact"/>
              <w:jc w:val="left"/>
            </w:pPr>
            <w:r>
              <w:t xml:space="preserve">Scope 3 (Categories 4 &amp; 9)</w:t>
            </w:r>
          </w:p>
        </w:tc>
        <w:tc>
          <w:tcPr/>
          <w:p>
            <w:pPr>
              <w:pStyle w:val="Compact"/>
              <w:jc w:val="left"/>
            </w:pPr>
            <w:r>
              <w:t xml:space="preserve">1.845</w:t>
            </w:r>
          </w:p>
        </w:tc>
        <w:tc>
          <w:tcPr/>
          <w:p>
            <w:pPr>
              <w:pStyle w:val="Compact"/>
              <w:jc w:val="left"/>
            </w:pPr>
            <w:r>
              <w:t xml:space="preserve">4.8%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22.500</w:t>
            </w:r>
          </w:p>
        </w:tc>
        <w:tc>
          <w:tcPr/>
          <w:p>
            <w:pPr>
              <w:pStyle w:val="Compact"/>
              <w:jc w:val="left"/>
            </w:pPr>
            <w:r>
              <w:t xml:space="preserve">58.1%</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-0.863</w:t>
            </w:r>
          </w:p>
        </w:tc>
        <w:tc>
          <w:tcPr/>
          <w:p>
            <w:pPr>
              <w:pStyle w:val="Compact"/>
              <w:jc w:val="left"/>
            </w:pPr>
            <w:r>
              <w:t xml:space="preserve">-2.2%</w:t>
            </w:r>
          </w:p>
        </w:tc>
      </w:tr>
      <w:tr>
        <w:tc>
          <w:tcPr/>
          <w:p>
            <w:pPr>
              <w:pStyle w:val="Compact"/>
              <w:jc w:val="left"/>
            </w:pPr>
            <w:r>
              <w:t xml:space="preserve">Total PCF</w:t>
            </w:r>
          </w:p>
        </w:tc>
        <w:tc>
          <w:tcPr/>
          <w:p>
            <w:pPr>
              <w:pStyle w:val="Compact"/>
            </w:pPr>
          </w:p>
        </w:tc>
        <w:tc>
          <w:tcPr/>
          <w:p>
            <w:pPr>
              <w:pStyle w:val="Compact"/>
              <w:jc w:val="left"/>
            </w:pPr>
            <w:r>
              <w:t xml:space="preserve">38.7225</w:t>
            </w:r>
          </w:p>
        </w:tc>
        <w:tc>
          <w:tcPr/>
          <w:p>
            <w:pPr>
              <w:pStyle w:val="Compact"/>
              <w:jc w:val="left"/>
            </w:pPr>
            <w:r>
              <w:t xml:space="preserve">100.0%</w:t>
            </w:r>
          </w:p>
        </w:tc>
      </w:tr>
    </w:tbl>
    <w:p>
      <w:pPr>
        <w:pStyle w:val="BodyText"/>
      </w:pPr>
      <w:r>
        <w:rPr>
          <w:bCs/>
          <w:b/>
        </w:rPr>
        <w:t xml:space="preserve">Total Product Carbon Footprint for sstdzxxmix: 38.72 kg CO2e per functional unit.</w:t>
      </w:r>
    </w:p>
    <w:bookmarkEnd w:id="42"/>
    <w:bookmarkStart w:id="43" w:name="emission-hotspots-and-reliability"/>
    <w:p>
      <w:pPr>
        <w:pStyle w:val="Heading2"/>
      </w:pPr>
      <w:r>
        <w:t xml:space="preserve">3.2. Emission Hotspots and Reliability</w:t>
      </w:r>
    </w:p>
    <w:p>
      <w:pPr>
        <w:pStyle w:val="FirstParagraph"/>
      </w:pPr>
      <w:r>
        <w:t xml:space="preserve">The analysis identifies the following key emission hotspots and notes regarding data reliability:</w:t>
      </w:r>
    </w:p>
    <w:p>
      <w:pPr>
        <w:numPr>
          <w:ilvl w:val="0"/>
          <w:numId w:val="1016"/>
        </w:numPr>
        <w:pStyle w:val="Compact"/>
      </w:pPr>
      <w:r>
        <w:rPr>
          <w:bCs/>
          <w:b/>
        </w:rPr>
        <w:t xml:space="preserve">Use Phase (58.1%):</w:t>
      </w:r>
      <w:r>
        <w:t xml:space="preserve"> </w:t>
      </w:r>
      <w:r>
        <w:t xml:space="preserve">This is the most significant contributor to the overall PCF. The calculation relies on the assumed product lifespan and energy consumption in use, along with an assumed user electricity mix. Reductions in this phase could be achieved through improved energy efficiency of the product and promotion of renewable energy adoption by end-users.</w:t>
      </w:r>
    </w:p>
    <w:p>
      <w:pPr>
        <w:numPr>
          <w:ilvl w:val="0"/>
          <w:numId w:val="1016"/>
        </w:numPr>
        <w:pStyle w:val="Compact"/>
      </w:pPr>
      <w:r>
        <w:rPr>
          <w:bCs/>
          <w:b/>
        </w:rPr>
        <w:t xml:space="preserve">Raw Material Acquisition &amp; Pre-processing (28.5%):</w:t>
      </w:r>
      <w:r>
        <w:t xml:space="preserve"> </w:t>
      </w:r>
      <w:r>
        <w:t xml:space="preserve">Materials, particularly primary aluminum and the battery, contribute substantially. Increasing the use of recycled content (like recycled ABS plastic already utilized) and exploring lower-carbon material alternatives will be crucial. The reliability is high due to the detailed BOM provided.</w:t>
      </w:r>
    </w:p>
    <w:p>
      <w:pPr>
        <w:numPr>
          <w:ilvl w:val="0"/>
          <w:numId w:val="1016"/>
        </w:numPr>
        <w:pStyle w:val="Compact"/>
      </w:pPr>
      <w:r>
        <w:rPr>
          <w:bCs/>
          <w:b/>
        </w:rPr>
        <w:t xml:space="preserve">Production/Manufacturing (10.8%):</w:t>
      </w:r>
      <w:r>
        <w:t xml:space="preserve"> </w:t>
      </w:r>
      <w:r>
        <w:t xml:space="preserve">Emissions from production are directly linked to the energy mix. The current 60% renewable energy usage significantly mitigates these emissions; further increases would reduce this footprint.</w:t>
      </w:r>
    </w:p>
    <w:p>
      <w:pPr>
        <w:numPr>
          <w:ilvl w:val="0"/>
          <w:numId w:val="1016"/>
        </w:numPr>
        <w:pStyle w:val="Compact"/>
      </w:pPr>
      <w:r>
        <w:rPr>
          <w:bCs/>
          <w:b/>
        </w:rPr>
        <w:t xml:space="preserve">Transportation (4.8%):</w:t>
      </w:r>
      <w:r>
        <w:t xml:space="preserve"> </w:t>
      </w:r>
      <w:r>
        <w:t xml:space="preserve">While transport distances are substantial, the overall contribution is relatively lower than other stages. Optimization of logistics, shift to lower-emission transport modes, and localizing supply chains where possible can reduce this further.</w:t>
      </w:r>
    </w:p>
    <w:p>
      <w:pPr>
        <w:numPr>
          <w:ilvl w:val="0"/>
          <w:numId w:val="1016"/>
        </w:numPr>
        <w:pStyle w:val="Compact"/>
      </w:pPr>
      <w:r>
        <w:rPr>
          <w:bCs/>
          <w:b/>
        </w:rPr>
        <w:t xml:space="preserve">End-of-Life (-2.2%):</w:t>
      </w:r>
      <w:r>
        <w:t xml:space="preserve"> </w:t>
      </w:r>
      <w:r>
        <w:t xml:space="preserve">The significant recyclability percentage (75%) results in a net carbon credit, indicating the positive impact of circular economy principles. Expanding circular programs (mrxxnkvldw) and improving collection/recycling infrastructure can further enhance this benefit.</w:t>
      </w:r>
    </w:p>
    <w:bookmarkEnd w:id="43"/>
    <w:bookmarkStart w:id="44" w:name="X98e1ee2ce93fda67d3ae3ffe9038beb87d72a45"/>
    <w:p>
      <w:pPr>
        <w:pStyle w:val="Heading2"/>
      </w:pPr>
      <w:r>
        <w:t xml:space="preserve">3.3. GHG Protocol and 2026 LSR Update Compliance</w:t>
      </w:r>
    </w:p>
    <w:p>
      <w:pPr>
        <w:numPr>
          <w:ilvl w:val="0"/>
          <w:numId w:val="1017"/>
        </w:numPr>
        <w:pStyle w:val="Compact"/>
      </w:pPr>
      <w:r>
        <w:rPr>
          <w:bCs/>
          <w:b/>
        </w:rPr>
        <w:t xml:space="preserve">Scope 1, 2, 3 Categorization:</w:t>
      </w:r>
      <w:r>
        <w:t xml:space="preserve"> </w:t>
      </w:r>
      <w:r>
        <w:t xml:space="preserve">All identified emissions have been appropriately categorized as per GHG Protocol standards. Scope 1 direct emissions were assumed negligible based on provided parameters, focusing on Scope 2 and 3.</w:t>
      </w:r>
    </w:p>
    <w:p>
      <w:pPr>
        <w:numPr>
          <w:ilvl w:val="0"/>
          <w:numId w:val="1017"/>
        </w:numPr>
        <w:pStyle w:val="Compact"/>
      </w:pPr>
      <w:r>
        <w:rPr>
          <w:bCs/>
          <w:b/>
        </w:rPr>
        <w:t xml:space="preserve">Scope 3 Coverage:</w:t>
      </w:r>
      <w:r>
        <w:t xml:space="preserve"> </w:t>
      </w:r>
      <w:r>
        <w:t xml:space="preserve">This analysis addresses key Scope 3 categories including Purchased Goods &amp; Services (materials), Upstream Transportation &amp; Distribution, Downstream Transportation &amp; Distribution, Use of Sold Products, and End-of-Life Treatment of Sold Products. This comprehensive approach aims to achieve at least 95% coverage for Scope 3 reporting, in line with 2026 requirements, subject to more granular operational data in a live reporting context.</w:t>
      </w:r>
    </w:p>
    <w:p>
      <w:pPr>
        <w:numPr>
          <w:ilvl w:val="0"/>
          <w:numId w:val="1017"/>
        </w:numPr>
        <w:pStyle w:val="Compact"/>
      </w:pPr>
      <w:r>
        <w:rPr>
          <w:bCs/>
          <w:b/>
        </w:rPr>
        <w:t xml:space="preserve">Land Sector and Removals (LSR) Standard:</w:t>
      </w:r>
      <w:r>
        <w:t xml:space="preserve"> </w:t>
      </w:r>
      <w:r>
        <w:t xml:space="preserve">While specific land use data for materials (e.g., bio-based inputs) was not provided, the principles of the 2026 LSR Standard have been considered by acknowledging potential land-related impacts and benefits. For a quantitative application, detailed data on land-use change, biomass carbon, and other removals associated with raw material sourcing and product lifecycle would be integrated.</w:t>
      </w:r>
    </w:p>
    <w:bookmarkEnd w:id="44"/>
    <w:bookmarkEnd w:id="45"/>
    <w:bookmarkStart w:id="46" w:name="recommendations-and-next-steps"/>
    <w:p>
      <w:pPr>
        <w:pStyle w:val="Heading1"/>
      </w:pPr>
      <w:r>
        <w:t xml:space="preserve">4. Recommendations and Next Steps</w:t>
      </w:r>
    </w:p>
    <w:p>
      <w:r>
        <w:pict>
          <v:rect style="width:0;height:1.5pt" o:hralign="center" o:hrstd="t" o:hr="t"/>
        </w:pict>
      </w:r>
    </w:p>
    <w:p>
      <w:pPr>
        <w:pStyle w:val="FirstParagraph"/>
      </w:pPr>
      <w:r>
        <w:t xml:space="preserve">Based on this PCF analysis, utxzmtfwos should consider the following recommendations for sstdzxxmix:</w:t>
      </w:r>
    </w:p>
    <w:p>
      <w:pPr>
        <w:numPr>
          <w:ilvl w:val="0"/>
          <w:numId w:val="1018"/>
        </w:numPr>
        <w:pStyle w:val="Compact"/>
      </w:pPr>
      <w:r>
        <w:rPr>
          <w:bCs/>
          <w:b/>
        </w:rPr>
        <w:t xml:space="preserve">Energy Efficiency in Use Phase:</w:t>
      </w:r>
      <w:r>
        <w:t xml:space="preserve"> </w:t>
      </w:r>
      <w:r>
        <w:t xml:space="preserve">Invest in R&amp;D to significantly reduce the energy consumption of sstdzxxmix during its use phase. Promoting the use of renewable energy by end-users through product labeling or partnerships could also reduce this hotspot.</w:t>
      </w:r>
    </w:p>
    <w:p>
      <w:pPr>
        <w:numPr>
          <w:ilvl w:val="0"/>
          <w:numId w:val="1018"/>
        </w:numPr>
        <w:pStyle w:val="Compact"/>
      </w:pPr>
      <w:r>
        <w:rPr>
          <w:bCs/>
          <w:b/>
        </w:rPr>
        <w:t xml:space="preserve">Material Circularity:</w:t>
      </w:r>
      <w:r>
        <w:t xml:space="preserve"> </w:t>
      </w:r>
      <w:r>
        <w:t xml:space="preserve">Further investigate opportunities to increase the recycled content of materials. Evaluate the feasibility of using bio-based or renewably sourced materials with lower embedded carbon. Strengthen existing "mrxxnkvldw" circular/take-back programs to maximize material recovery.</w:t>
      </w:r>
    </w:p>
    <w:p>
      <w:pPr>
        <w:numPr>
          <w:ilvl w:val="0"/>
          <w:numId w:val="1018"/>
        </w:numPr>
        <w:pStyle w:val="Compact"/>
      </w:pPr>
      <w:r>
        <w:rPr>
          <w:bCs/>
          <w:b/>
        </w:rPr>
        <w:t xml:space="preserve">Renewable Energy Procurement:</w:t>
      </w:r>
      <w:r>
        <w:t xml:space="preserve"> </w:t>
      </w:r>
      <w:r>
        <w:t xml:space="preserve">Continue to increase renewable energy usage at the manufacturing facility in China (beyond the assumed 60%) to further reduce Scope 2 emissions.</w:t>
      </w:r>
    </w:p>
    <w:p>
      <w:pPr>
        <w:numPr>
          <w:ilvl w:val="0"/>
          <w:numId w:val="1018"/>
        </w:numPr>
        <w:pStyle w:val="Compact"/>
      </w:pPr>
      <w:r>
        <w:rPr>
          <w:bCs/>
          <w:b/>
        </w:rPr>
        <w:t xml:space="preserve">Supply Chain Engagement:</w:t>
      </w:r>
      <w:r>
        <w:t xml:space="preserve"> </w:t>
      </w:r>
      <w:r>
        <w:t xml:space="preserve">Work with suppliers to understand and reduce the carbon footprint of raw material production, particularly for high-impact components like aluminum and batteries.</w:t>
      </w:r>
    </w:p>
    <w:p>
      <w:pPr>
        <w:numPr>
          <w:ilvl w:val="0"/>
          <w:numId w:val="1018"/>
        </w:numPr>
        <w:pStyle w:val="Compact"/>
      </w:pPr>
      <w:r>
        <w:rPr>
          <w:bCs/>
          <w:b/>
        </w:rPr>
        <w:t xml:space="preserve">Data Granularity:</w:t>
      </w:r>
      <w:r>
        <w:t xml:space="preserve"> </w:t>
      </w:r>
      <w:r>
        <w:t xml:space="preserve">For future analyses, gather more precise primary data for transport modes, distances, and actual energy mixes across the supply chain, as well as specific end-of-life routes for different material streams. This will enhance the accuracy and robustness of the PCF.</w:t>
      </w:r>
    </w:p>
    <w:p>
      <w:pPr>
        <w:pStyle w:val="FirstParagraph"/>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sstdzxxmix</dc:title>
  <dc:creator/>
  <dc:description>Detailed Product Carbon Footprint (PCF) analysis report for sstdzxxmix, conducted by Senior Sustainability Consultant pzqshmzlnr for utxzmtfwos, adhering to GHG Protocol and 2026 LSR standards.</dc:description>
  <dc:language>en</dc:language>
  <cp:keywords/>
  <dcterms:created xsi:type="dcterms:W3CDTF">2026-07-15T11:38:31Z</dcterms:created>
  <dcterms:modified xsi:type="dcterms:W3CDTF">2026-07-15T11:38:31Z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