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spxuixqxlu</w:t>
      </w:r>
    </w:p>
    <w:p>
      <w:pPr>
        <w:pStyle w:val="FirstParagraph"/>
      </w:pPr>
      <w:r>
        <w:t xml:space="preserve">carboncalcpcf.com</w:t>
      </w:r>
    </w:p>
    <w:bookmarkStart w:id="20" w:name="Xaa6b9102007697c163570e7c14191e5a75ed8d7"/>
    <w:p>
      <w:pPr>
        <w:pStyle w:val="Heading1"/>
      </w:pPr>
      <w:r>
        <w:t xml:space="preserve">Product Carbon Footprint Report for spxuixqxlu</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tyzqdzhqno</w:t>
      </w:r>
    </w:p>
    <w:p>
      <w:pPr>
        <w:pStyle w:val="BodyText"/>
      </w:pPr>
      <w:r>
        <w:rPr>
          <w:bCs/>
          <w:b/>
        </w:rPr>
        <w:t xml:space="preserve">Senior Sustainability Consultant:</w:t>
      </w:r>
      <w:r>
        <w:t xml:space="preserve"> </w:t>
      </w:r>
      <w:r>
        <w:t xml:space="preserve">inwwgnpjqz</w:t>
      </w:r>
    </w:p>
    <w:p>
      <w:pPr>
        <w:pStyle w:val="BodyText"/>
      </w:pPr>
      <w:r>
        <w:t xml:space="preserve">This report is generated based on available data and industry standards. The calculations within this report are illustrative and utilize simulated data for specific parameters as actual real-world values were provided as placeholders.</w:t>
      </w:r>
    </w:p>
    <w:bookmarkEnd w:id="20"/>
    <w:bookmarkStart w:id="45" w:name="X19d72ebdb7368580e567778f19edd74bf48a0b0"/>
    <w:p>
      <w:pPr>
        <w:pStyle w:val="Heading1"/>
      </w:pPr>
      <w:r>
        <w:t xml:space="preserve">Product Carbon Footprint Analysis: spxuixqxlu</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spxuixqxlu, manufactured by tyzqdzhqno. Conducted by inwwgnpjqz, Senior Sustainability Consultant, this assessment adheres to the Greenhouse Gas (GHG) Protocol standards, including the 2026 Land Sector and Removals (LSR) Standard update. The analysis covers the entire lifecycle from raw material acquisition through manufacturing, transport, use, and end-of-life, with a system boundary set at \'factory_gate\' for initial production and extending across the value chain. The primary goal is to identify carbon hotspots and provide a reliable baseline for emission reduction strategies. The total Product Carbon Footprint for one functional unit of spxuixqxlu is calculated to be</w:t>
      </w:r>
      <w:r>
        <w:t xml:space="preserve"> </w:t>
      </w:r>
      <w:r>
        <w:rPr>
          <w:bCs/>
          <w:b/>
        </w:rPr>
        <w:t xml:space="preserve">8.08 kgCO2e</w:t>
      </w:r>
      <w:r>
        <w:t xml:space="preserve">.</w:t>
      </w:r>
    </w:p>
    <w:p>
      <w:r>
        <w:pict>
          <v:rect style="width:0;height:1.5pt" o:hralign="center" o:hrstd="t" o:hr="t"/>
        </w:pict>
      </w:r>
    </w:p>
    <w:bookmarkEnd w:id="21"/>
    <w:bookmarkStart w:id="28" w:name="methodology"/>
    <w:p>
      <w:pPr>
        <w:pStyle w:val="Heading2"/>
      </w:pPr>
      <w:r>
        <w:t xml:space="preserve">2. Methodology</w:t>
      </w:r>
    </w:p>
    <w:p>
      <w:pPr>
        <w:pStyle w:val="FirstParagraph"/>
      </w:pPr>
      <w:r>
        <w:t xml:space="preserve">The Product Carbon Footprint (PCF) analysis for spxuixqxlu follows the five-step methodology prescribed by the GHG Protocol:</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spxuixqxlu.</w:t>
      </w:r>
    </w:p>
    <w:p>
      <w:pPr>
        <w:numPr>
          <w:ilvl w:val="0"/>
          <w:numId w:val="1001"/>
        </w:numPr>
        <w:pStyle w:val="Compact"/>
      </w:pPr>
      <w:r>
        <w:rPr>
          <w:bCs/>
          <w:b/>
        </w:rPr>
        <w:t xml:space="preserve">System Boundary:</w:t>
      </w:r>
      <w:r>
        <w:t xml:space="preserve"> </w:t>
      </w:r>
      <w:r>
        <w:t xml:space="preserve">Cradle-to-grave, specifically \'factory_gate\' for direct production, extending through downstream phases (transport, use, end-of-life). This encompasses all relevant emissions associated with the product\'s lifecycle.</w:t>
      </w:r>
    </w:p>
    <w:p>
      <w:pPr>
        <w:numPr>
          <w:ilvl w:val="0"/>
          <w:numId w:val="1001"/>
        </w:numPr>
        <w:pStyle w:val="Compact"/>
      </w:pPr>
      <w:r>
        <w:rPr>
          <w:bCs/>
          <w:b/>
        </w:rPr>
        <w:t xml:space="preserve">Geographic Scope:</w:t>
      </w:r>
      <w:r>
        <w:t xml:space="preserve"> </w:t>
      </w:r>
      <w:r>
        <w:t xml:space="preserve">Final production occurs in China, with a supply chain focus on Europe. Use phase assumptions are based on typical European consumption patterns.</w:t>
      </w:r>
    </w:p>
    <w:p>
      <w:pPr>
        <w:numPr>
          <w:ilvl w:val="0"/>
          <w:numId w:val="1001"/>
        </w:numPr>
        <w:pStyle w:val="Compact"/>
      </w:pPr>
      <w:r>
        <w:rPr>
          <w:bCs/>
          <w:b/>
        </w:rPr>
        <w:t xml:space="preserve">Allocation:</w:t>
      </w:r>
      <w:r>
        <w:t xml:space="preserve"> </w:t>
      </w:r>
      <w:r>
        <w:t xml:space="preserve">Emissions are allocated directly to the functional unit. Recycling benefits at End-of-Life are calculated using the avoided burden approach.</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2026 LSR Update:</w:t>
      </w:r>
      <w:r>
        <w:t xml:space="preserve"> </w:t>
      </w:r>
      <w:r>
        <w:t xml:space="preserve">The Land Sector and Removals (LSR) Standard, effective January 1, 2027, has been considered in this analysis. While detailed land-use change and specific biogenic carbon removal calculations are beyond the scope of this illustrative report due to placeholder data, the principles of accounting for removals and land-sector emissions are acknowledged.</w:t>
      </w:r>
    </w:p>
    <w:p>
      <w:pPr>
        <w:numPr>
          <w:ilvl w:val="0"/>
          <w:numId w:val="1001"/>
        </w:numPr>
        <w:pStyle w:val="Compact"/>
      </w:pPr>
      <w:r>
        <w:rPr>
          <w:bCs/>
          <w:b/>
        </w:rPr>
        <w:t xml:space="preserve">Scope 3 Compliance:</w:t>
      </w:r>
      <w:r>
        <w:t xml:space="preserve"> </w:t>
      </w:r>
      <w:r>
        <w:t xml:space="preserve">This analysis aims for at least 95% coverage for Scope 3 reporting, as per 2026 requirements, to ensure a comprehensive understanding of the product\'s value chain impact. Scope 3 emissions are categorized into upstream and downstream activities as per GHG Protocol guidance.</w:t>
      </w:r>
    </w:p>
    <w:bookmarkEnd w:id="22"/>
    <w:bookmarkStart w:id="23" w:name="map-lifecycle-lci-inventory-stages"/>
    <w:p>
      <w:pPr>
        <w:pStyle w:val="Heading3"/>
      </w:pPr>
      <w:r>
        <w:t xml:space="preserve">2.2. Map Lifecycle (LCI Inventory Stages)</w:t>
      </w:r>
    </w:p>
    <w:p>
      <w:pPr>
        <w:pStyle w:val="FirstParagraph"/>
      </w:pPr>
      <w:r>
        <w:t xml:space="preserve">The lifecycle of spxuixqxlu is mapped across five key stages:</w:t>
      </w:r>
    </w:p>
    <w:p>
      <w:pPr>
        <w:numPr>
          <w:ilvl w:val="0"/>
          <w:numId w:val="1002"/>
        </w:numPr>
        <w:pStyle w:val="Compact"/>
      </w:pPr>
      <w:r>
        <w:rPr>
          <w:bCs/>
          <w:b/>
        </w:rPr>
        <w:t xml:space="preserve">Materials Acquisition &amp; Pre-processing:</w:t>
      </w:r>
      <w:r>
        <w:t xml:space="preserve"> </w:t>
      </w:r>
      <w:r>
        <w:t xml:space="preserve">Extraction, processing, and manufacturing of raw materials and components, including upstream transport to the production facility in China.</w:t>
      </w:r>
    </w:p>
    <w:p>
      <w:pPr>
        <w:numPr>
          <w:ilvl w:val="0"/>
          <w:numId w:val="1002"/>
        </w:numPr>
        <w:pStyle w:val="Compact"/>
      </w:pPr>
      <w:r>
        <w:rPr>
          <w:bCs/>
          <w:b/>
        </w:rPr>
        <w:t xml:space="preserve">Production/Manufacturing:</w:t>
      </w:r>
      <w:r>
        <w:t xml:space="preserve"> </w:t>
      </w:r>
      <w:r>
        <w:t xml:space="preserve">Assembly and final production of spxuixqxlu at the tyzqdzhqno facility in China.</w:t>
      </w:r>
    </w:p>
    <w:p>
      <w:pPr>
        <w:numPr>
          <w:ilvl w:val="0"/>
          <w:numId w:val="1002"/>
        </w:numPr>
        <w:pStyle w:val="Compact"/>
      </w:pPr>
      <w:r>
        <w:rPr>
          <w:bCs/>
          <w:b/>
        </w:rPr>
        <w:t xml:space="preserve">Transport &amp; Distribution:</w:t>
      </w:r>
      <w:r>
        <w:t xml:space="preserve"> </w:t>
      </w:r>
      <w:r>
        <w:t xml:space="preserve">Logistics from the factory gate in China to the consumer in Europe, including international freight and last-mile delivery.</w:t>
      </w:r>
    </w:p>
    <w:p>
      <w:pPr>
        <w:numPr>
          <w:ilvl w:val="0"/>
          <w:numId w:val="1002"/>
        </w:numPr>
        <w:pStyle w:val="Compact"/>
      </w:pPr>
      <w:r>
        <w:rPr>
          <w:bCs/>
          <w:b/>
        </w:rPr>
        <w:t xml:space="preserve">Use Phase:</w:t>
      </w:r>
      <w:r>
        <w:t xml:space="preserve"> </w:t>
      </w:r>
      <w:r>
        <w:t xml:space="preserve">Energy consumption and associated emissions during the product\'s estimated lifespan by the end-user.</w:t>
      </w:r>
    </w:p>
    <w:p>
      <w:pPr>
        <w:numPr>
          <w:ilvl w:val="0"/>
          <w:numId w:val="1002"/>
        </w:numPr>
        <w:pStyle w:val="Compact"/>
      </w:pPr>
      <w:r>
        <w:rPr>
          <w:bCs/>
          <w:b/>
        </w:rPr>
        <w:t xml:space="preserve">End-of-Life (EoL):</w:t>
      </w:r>
      <w:r>
        <w:t xml:space="preserve"> </w:t>
      </w:r>
      <w:r>
        <w:t xml:space="preserve">Collection, recycling, and disposal of the product after its useful life.</w:t>
      </w:r>
    </w:p>
    <w:bookmarkEnd w:id="23"/>
    <w:bookmarkStart w:id="26" w:name="Xb57f50a89bf1f3f1837369be949d9d60d6c1272"/>
    <w:p>
      <w:pPr>
        <w:pStyle w:val="Heading3"/>
      </w:pPr>
      <w:r>
        <w:t xml:space="preserve">2.3. Collect Data (Primary/Secondary Data Points)</w:t>
      </w:r>
    </w:p>
    <w:p>
      <w:pPr>
        <w:pStyle w:val="FirstParagraph"/>
      </w:pPr>
      <w:r>
        <w:t xml:space="preserve">Data collection involved both primary and secondary sources. For this report, specific parameters were provided as placeholders and have been simulated for illustrative calculation purposes.</w:t>
      </w:r>
    </w:p>
    <w:bookmarkStart w:id="24" w:name="Xf49f071cb3a88c03d77e139ffee9e54af746efd"/>
    <w:p>
      <w:pPr>
        <w:pStyle w:val="Heading4"/>
      </w:pPr>
      <w:r>
        <w:t xml:space="preserve">Detailed Bill of Materials (BOM) for spxuixqxlu (Simulated Data based on \'wxyzknqy\')</w:t>
      </w:r>
    </w:p>
    <w:p>
      <w:pPr>
        <w:pStyle w:val="FirstParagraph"/>
      </w:pPr>
      <w:r>
        <w:t xml:space="preserve">The following table details the materials and their associated carbon emissions, forming the basis for the upstream material impact calculation. Emission factors are representative of industry averages (e.g., from Ecoinvent/DEFRA type databases).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5.50</w:t>
            </w:r>
          </w:p>
        </w:tc>
        <w:tc>
          <w:tcPr/>
          <w:p>
            <w:pPr>
              <w:pStyle w:val="Compact"/>
              <w:jc w:val="left"/>
            </w:pPr>
            <w:r>
              <w:t xml:space="preserve">1.10</w:t>
            </w:r>
          </w:p>
        </w:tc>
      </w:tr>
      <w:tr>
        <w:tc>
          <w:tcPr/>
          <w:p>
            <w:pPr>
              <w:pStyle w:val="Compact"/>
              <w:jc w:val="left"/>
            </w:pPr>
            <w:r>
              <w:t xml:space="preserve">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Metals/Chemicals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0.12</w:t>
            </w:r>
          </w:p>
        </w:tc>
      </w:tr>
      <w:tr>
        <w:tc>
          <w:tcPr/>
          <w:p>
            <w:pPr>
              <w:pStyle w:val="Compact"/>
              <w:jc w:val="left"/>
            </w:pPr>
            <w:r>
              <w:t xml:space="preserve">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w:t>
            </w:r>
          </w:p>
        </w:tc>
      </w:tr>
      <w:tr>
        <w:tc>
          <w:tcPr>
            <w:gridSpan w:val="6"/>
          </w:tcPr>
          <w:p>
            <w:pPr>
              <w:pStyle w:val="Compact"/>
              <w:jc w:val="left"/>
            </w:pPr>
            <w:r>
              <w:t xml:space="preserve">Total Product Mass</w:t>
            </w:r>
          </w:p>
        </w:tc>
        <w:tc>
          <w:tcPr/>
          <w:p>
            <w:pPr>
              <w:pStyle w:val="Compact"/>
              <w:jc w:val="left"/>
            </w:pPr>
            <w:r>
              <w:t xml:space="preserve">0.50 kg</w:t>
            </w:r>
          </w:p>
        </w:tc>
        <w:tc>
          <w:tcPr/>
          <w:p>
            <w:pPr>
              <w:pStyle w:val="Compact"/>
            </w:pPr>
          </w:p>
        </w:tc>
      </w:tr>
      <w:tr>
        <w:tc>
          <w:tcPr>
            <w:gridSpan w:val="7"/>
          </w:tcPr>
          <w:p>
            <w:pPr>
              <w:pStyle w:val="Compact"/>
              <w:jc w:val="left"/>
            </w:pPr>
            <w:r>
              <w:t xml:space="preserve">Total Material Carbon Footprint (Upstream)</w:t>
            </w:r>
          </w:p>
        </w:tc>
        <w:tc>
          <w:tcPr/>
          <w:p>
            <w:pPr>
              <w:pStyle w:val="Compact"/>
              <w:jc w:val="left"/>
            </w:pPr>
            <w:r>
              <w:t xml:space="preserve">5.58 kgCO2e</w:t>
            </w:r>
          </w:p>
        </w:tc>
      </w:tr>
    </w:tbl>
    <w:bookmarkEnd w:id="24"/>
    <w:bookmarkStart w:id="25" w:name="Xe62c795270390bdb141fa34e7d17782fa3daf31"/>
    <w:p>
      <w:pPr>
        <w:pStyle w:val="Heading4"/>
      </w:pPr>
      <w:r>
        <w:t xml:space="preserve">Energy and Logistics Data (Simulated Data based on provided parameters)</w:t>
      </w:r>
    </w:p>
    <w:p>
      <w:pPr>
        <w:numPr>
          <w:ilvl w:val="0"/>
          <w:numId w:val="1003"/>
        </w:numPr>
        <w:pStyle w:val="Compact"/>
      </w:pPr>
      <w:r>
        <w:rPr>
          <w:bCs/>
          <w:b/>
        </w:rPr>
        <w:t xml:space="preserve">Renewable Energy Usage (ohkhlrdnir):</w:t>
      </w:r>
      <w:r>
        <w:t xml:space="preserve"> </w:t>
      </w:r>
      <w:r>
        <w:t xml:space="preserve">70% (at manufacturing facility)</w:t>
      </w:r>
    </w:p>
    <w:p>
      <w:pPr>
        <w:numPr>
          <w:ilvl w:val="0"/>
          <w:numId w:val="1003"/>
        </w:numPr>
        <w:pStyle w:val="Compact"/>
      </w:pPr>
      <w:r>
        <w:rPr>
          <w:bCs/>
          <w:b/>
        </w:rPr>
        <w:t xml:space="preserve">Energy Intensity (kWh/unit) (qdnlpnmmyv):</w:t>
      </w:r>
      <w:r>
        <w:t xml:space="preserve"> </w:t>
      </w:r>
      <w:r>
        <w:t xml:space="preserve">1.5 kWh/unit (for production in China)</w:t>
      </w:r>
    </w:p>
    <w:p>
      <w:pPr>
        <w:numPr>
          <w:ilvl w:val="0"/>
          <w:numId w:val="1003"/>
        </w:numPr>
        <w:pStyle w:val="Compact"/>
      </w:pPr>
      <w:r>
        <w:rPr>
          <w:bCs/>
          <w:b/>
        </w:rPr>
        <w:t xml:space="preserve">Transport Mode (\'Select Mode\'):</w:t>
      </w:r>
      <w:r>
        <w:t xml:space="preserve"> </w:t>
      </w:r>
      <w:r>
        <w:t xml:space="preserve">Ocean Freight (main leg), Road Freight (European logistics, last-mile)</w:t>
      </w:r>
    </w:p>
    <w:p>
      <w:pPr>
        <w:numPr>
          <w:ilvl w:val="0"/>
          <w:numId w:val="1003"/>
        </w:numPr>
        <w:pStyle w:val="Compact"/>
      </w:pPr>
      <w:r>
        <w:rPr>
          <w:bCs/>
          <w:b/>
        </w:rPr>
        <w:t xml:space="preserve">Transport Distance (\'ytogjsprjt\'):</w:t>
      </w:r>
    </w:p>
    <w:p>
      <w:pPr>
        <w:numPr>
          <w:ilvl w:val="1"/>
          <w:numId w:val="1004"/>
        </w:numPr>
        <w:pStyle w:val="Compact"/>
      </w:pPr>
      <w:r>
        <w:t xml:space="preserve">Ocean Freight (China to European Port): 15,000 km</w:t>
      </w:r>
    </w:p>
    <w:p>
      <w:pPr>
        <w:numPr>
          <w:ilvl w:val="1"/>
          <w:numId w:val="1004"/>
        </w:numPr>
        <w:pStyle w:val="Compact"/>
      </w:pPr>
      <w:r>
        <w:t xml:space="preserve">Road Freight (European Port to Distribution Center): 500 km</w:t>
      </w:r>
    </w:p>
    <w:p>
      <w:pPr>
        <w:numPr>
          <w:ilvl w:val="0"/>
          <w:numId w:val="1003"/>
        </w:numPr>
        <w:pStyle w:val="Compact"/>
      </w:pPr>
      <w:r>
        <w:rPr>
          <w:bCs/>
          <w:b/>
        </w:rPr>
        <w:t xml:space="preserve">Last-Mile Delivery Channel (\'Delivery Type\'):</w:t>
      </w:r>
      <w:r>
        <w:t xml:space="preserve"> </w:t>
      </w:r>
      <w:r>
        <w:t xml:space="preserve">Parcel Service (Road) - average distance: 100 km</w:t>
      </w:r>
    </w:p>
    <w:p>
      <w:pPr>
        <w:numPr>
          <w:ilvl w:val="0"/>
          <w:numId w:val="1003"/>
        </w:numPr>
        <w:pStyle w:val="Compact"/>
      </w:pPr>
      <w:r>
        <w:rPr>
          <w:bCs/>
          <w:b/>
        </w:rPr>
        <w:t xml:space="preserve">Product Lifespan (jowesmidgy):</w:t>
      </w:r>
      <w:r>
        <w:t xml:space="preserve"> </w:t>
      </w:r>
      <w:r>
        <w:t xml:space="preserve">3 years</w:t>
      </w:r>
    </w:p>
    <w:p>
      <w:pPr>
        <w:numPr>
          <w:ilvl w:val="0"/>
          <w:numId w:val="1003"/>
        </w:numPr>
        <w:pStyle w:val="Compact"/>
      </w:pPr>
      <w:r>
        <w:rPr>
          <w:bCs/>
          <w:b/>
        </w:rPr>
        <w:t xml:space="preserve">Energy Consumption in Use (djxresmuij):</w:t>
      </w:r>
      <w:r>
        <w:t xml:space="preserve"> </w:t>
      </w:r>
      <w:r>
        <w:t xml:space="preserve">5 kWh/year</w:t>
      </w:r>
    </w:p>
    <w:p>
      <w:pPr>
        <w:numPr>
          <w:ilvl w:val="0"/>
          <w:numId w:val="1003"/>
        </w:numPr>
        <w:pStyle w:val="Compact"/>
      </w:pPr>
      <w:r>
        <w:rPr>
          <w:bCs/>
          <w:b/>
        </w:rPr>
        <w:t xml:space="preserve">Recyclability Percentage (rfdnffrxsr):</w:t>
      </w:r>
      <w:r>
        <w:t xml:space="preserve"> </w:t>
      </w:r>
      <w:r>
        <w:t xml:space="preserve">60%</w:t>
      </w:r>
    </w:p>
    <w:p>
      <w:pPr>
        <w:numPr>
          <w:ilvl w:val="0"/>
          <w:numId w:val="1003"/>
        </w:numPr>
        <w:pStyle w:val="Compact"/>
      </w:pPr>
      <w:r>
        <w:rPr>
          <w:bCs/>
          <w:b/>
        </w:rPr>
        <w:t xml:space="preserve">Circular/Take-back Programs (mtrohtvdkj):</w:t>
      </w:r>
      <w:r>
        <w:t xml:space="preserve"> </w:t>
      </w:r>
      <w:r>
        <w:t xml:space="preserve">Company has an established take-back program for end-of-life products.</w:t>
      </w:r>
    </w:p>
    <w:bookmarkEnd w:id="25"/>
    <w:bookmarkEnd w:id="26"/>
    <w:bookmarkStart w:id="27"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energy, tonne-km of transport) by relevant emission factors (EFs). Emission factors are sourced from industry-standard databases such as Ecoinvent and DEFRA, reflecting regional specifics where possible.</w:t>
      </w:r>
    </w:p>
    <w:p>
      <w:r>
        <w:pict>
          <v:rect style="width:0;height:1.5pt" o:hralign="center" o:hrstd="t" o:hr="t"/>
        </w:pict>
      </w:r>
    </w:p>
    <w:bookmarkEnd w:id="27"/>
    <w:bookmarkEnd w:id="28"/>
    <w:bookmarkStart w:id="39" w:name="product-carbon-footprint-pcf-calculation"/>
    <w:p>
      <w:pPr>
        <w:pStyle w:val="Heading2"/>
      </w:pPr>
      <w:r>
        <w:t xml:space="preserve">3. Product Carbon Footprint (PCF) Calculation</w:t>
      </w:r>
    </w:p>
    <w:bookmarkStart w:id="31" w:name="upstream-emissions-scope-3"/>
    <w:p>
      <w:pPr>
        <w:pStyle w:val="Heading3"/>
      </w:pPr>
      <w:r>
        <w:t xml:space="preserve">3.1. Upstream Emissions (Scope 3)</w:t>
      </w:r>
    </w:p>
    <w:bookmarkStart w:id="29" w:name="Xe0ac96a1e8a24ab825931d79d65a114ba0aea01"/>
    <w:p>
      <w:pPr>
        <w:pStyle w:val="Heading4"/>
      </w:pPr>
      <w:r>
        <w:t xml:space="preserve">3.1.1. Materials Acquisition &amp; Pre-processing (Category 1: Purchased goods and services)</w:t>
      </w:r>
    </w:p>
    <w:p>
      <w:pPr>
        <w:pStyle w:val="FirstParagraph"/>
      </w:pPr>
      <w:r>
        <w:t xml:space="preserve">The total carbon footprint from raw materials and components is derived directly from the Detailed Bill of Materials (BOM).</w:t>
      </w:r>
    </w:p>
    <w:p>
      <w:pPr>
        <w:numPr>
          <w:ilvl w:val="0"/>
          <w:numId w:val="1005"/>
        </w:numPr>
        <w:pStyle w:val="Compact"/>
      </w:pPr>
      <w:r>
        <w:rPr>
          <w:bCs/>
          <w:b/>
        </w:rPr>
        <w:t xml:space="preserve">Total Material Carbon Footprint:</w:t>
      </w:r>
      <w:r>
        <w:t xml:space="preserve"> </w:t>
      </w:r>
      <w:r>
        <w:t xml:space="preserve">5.58 kgCO2e</w:t>
      </w:r>
    </w:p>
    <w:bookmarkEnd w:id="29"/>
    <w:bookmarkStart w:id="30" w:name="X15abc563d1c8d0e02fa3673177e7f4580a9fa35"/>
    <w:p>
      <w:pPr>
        <w:pStyle w:val="Heading4"/>
      </w:pPr>
      <w:r>
        <w:t xml:space="preserve">3.1.2. Upstream Transport (Category 4: Upstream transportation and distribution)</w:t>
      </w:r>
    </w:p>
    <w:p>
      <w:pPr>
        <w:pStyle w:val="FirstParagraph"/>
      </w:pPr>
      <w:r>
        <w:t xml:space="preserve">Transport of materials and components from their origin to the production facility in China is assumed to be embedded in the material emission factors. However, the transport of the assembled product from China to Europe (pre-customer) is explicitly calculated.</w:t>
      </w:r>
    </w:p>
    <w:p>
      <w:pPr>
        <w:numPr>
          <w:ilvl w:val="0"/>
          <w:numId w:val="1006"/>
        </w:numPr>
        <w:pStyle w:val="Compact"/>
      </w:pPr>
      <w:r>
        <w:t xml:space="preserve">Product Mass: 0.5 kg (0.0005 tonnes)</w:t>
      </w:r>
    </w:p>
    <w:p>
      <w:pPr>
        <w:numPr>
          <w:ilvl w:val="0"/>
          <w:numId w:val="1006"/>
        </w:numPr>
        <w:pStyle w:val="Compact"/>
      </w:pPr>
      <w:r>
        <w:t xml:space="preserve">Ocean Freight (China to European Port): 0.0005 tonnes * 15,000 km * 0.003 kgCO2e/tonne-km = 0.0225 kgCO2e</w:t>
      </w:r>
    </w:p>
    <w:p>
      <w:pPr>
        <w:numPr>
          <w:ilvl w:val="0"/>
          <w:numId w:val="1006"/>
        </w:numPr>
        <w:pStyle w:val="Compact"/>
      </w:pPr>
      <w:r>
        <w:t xml:space="preserve">Road Freight (European Port to Distribution Center): 0.0005 tonnes * 500 km * 0.09 kgCO2e/tonne-km = 0.0225 kgCO2e</w:t>
      </w:r>
    </w:p>
    <w:p>
      <w:pPr>
        <w:numPr>
          <w:ilvl w:val="0"/>
          <w:numId w:val="1006"/>
        </w:numPr>
        <w:pStyle w:val="Compact"/>
      </w:pPr>
      <w:r>
        <w:rPr>
          <w:bCs/>
          <w:b/>
        </w:rPr>
        <w:t xml:space="preserve">Total Upstream Transport Emissions:</w:t>
      </w:r>
      <w:r>
        <w:t xml:space="preserve"> </w:t>
      </w:r>
      <w:r>
        <w:t xml:space="preserve">0.045 kgCO2e</w:t>
      </w:r>
    </w:p>
    <w:bookmarkEnd w:id="30"/>
    <w:bookmarkEnd w:id="31"/>
    <w:bookmarkStart w:id="34" w:name="productionmanufacturing-emissions"/>
    <w:p>
      <w:pPr>
        <w:pStyle w:val="Heading3"/>
      </w:pPr>
      <w:r>
        <w:t xml:space="preserve">3.2. Production/Manufacturing Emissions</w:t>
      </w:r>
    </w:p>
    <w:bookmarkStart w:id="32" w:name="direct-emissions-scope-1"/>
    <w:p>
      <w:pPr>
        <w:pStyle w:val="Heading4"/>
      </w:pPr>
      <w:r>
        <w:t xml:space="preserve">3.2.1. Direct Emissions (Scope 1)</w:t>
      </w:r>
    </w:p>
    <w:p>
      <w:pPr>
        <w:pStyle w:val="FirstParagraph"/>
      </w:pPr>
      <w:r>
        <w:t xml:space="preserve">For the \'factory_gate\' system boundary and given product type, direct fuel combustion on-site is assumed to be negligible for this analysis. If direct fuel use were significant, it would be categorized here.</w:t>
      </w:r>
    </w:p>
    <w:p>
      <w:pPr>
        <w:numPr>
          <w:ilvl w:val="0"/>
          <w:numId w:val="1007"/>
        </w:numPr>
        <w:pStyle w:val="Compact"/>
      </w:pPr>
      <w:r>
        <w:rPr>
          <w:bCs/>
          <w:b/>
        </w:rPr>
        <w:t xml:space="preserve">Scope 1 Emissions:</w:t>
      </w:r>
      <w:r>
        <w:t xml:space="preserve"> </w:t>
      </w:r>
      <w:r>
        <w:t xml:space="preserve">0.00 kgCO2e</w:t>
      </w:r>
    </w:p>
    <w:bookmarkEnd w:id="32"/>
    <w:bookmarkStart w:id="33" w:name="X542a15a6412907a39c76a8a9e44d75e2e054f00"/>
    <w:p>
      <w:pPr>
        <w:pStyle w:val="Heading4"/>
      </w:pPr>
      <w:r>
        <w:t xml:space="preserve">3.2.2. Indirect Emissions from Purchased Electricity (Scope 2)</w:t>
      </w:r>
    </w:p>
    <w:p>
      <w:pPr>
        <w:pStyle w:val="FirstParagraph"/>
      </w:pPr>
      <w:r>
        <w:t xml:space="preserve">Emissions from purchased electricity for manufacturing in China.</w:t>
      </w:r>
    </w:p>
    <w:p>
      <w:pPr>
        <w:numPr>
          <w:ilvl w:val="0"/>
          <w:numId w:val="1008"/>
        </w:numPr>
        <w:pStyle w:val="Compact"/>
      </w:pPr>
      <w:r>
        <w:t xml:space="preserve">Total Energy Intensity: 1.5 kWh/unit</w:t>
      </w:r>
    </w:p>
    <w:p>
      <w:pPr>
        <w:numPr>
          <w:ilvl w:val="0"/>
          <w:numId w:val="1008"/>
        </w:numPr>
        <w:pStyle w:val="Compact"/>
      </w:pPr>
      <w:r>
        <w:t xml:space="preserve">Renewable Energy Usage: 70%</w:t>
      </w:r>
    </w:p>
    <w:p>
      <w:pPr>
        <w:numPr>
          <w:ilvl w:val="0"/>
          <w:numId w:val="1008"/>
        </w:numPr>
        <w:pStyle w:val="Compact"/>
      </w:pPr>
      <w:r>
        <w:t xml:space="preserve">Non-renewable energy: 1.5 kWh * (1 - 0.70) = 0.45 kWh</w:t>
      </w:r>
    </w:p>
    <w:p>
      <w:pPr>
        <w:numPr>
          <w:ilvl w:val="0"/>
          <w:numId w:val="1008"/>
        </w:numPr>
        <w:pStyle w:val="Compact"/>
      </w:pPr>
      <w:r>
        <w:t xml:space="preserve">China Grid Electricity Emission Factor (representative): 0.6 kgCO2e/kWh (for non-renewable portion)</w:t>
      </w:r>
    </w:p>
    <w:p>
      <w:pPr>
        <w:numPr>
          <w:ilvl w:val="0"/>
          <w:numId w:val="1008"/>
        </w:numPr>
        <w:pStyle w:val="Compact"/>
      </w:pPr>
      <w:r>
        <w:rPr>
          <w:bCs/>
          <w:b/>
        </w:rPr>
        <w:t xml:space="preserve">Scope 2 Emissions:</w:t>
      </w:r>
      <w:r>
        <w:t xml:space="preserve"> </w:t>
      </w:r>
      <w:r>
        <w:t xml:space="preserve">0.45 kWh * 0.6 kgCO2e/kWh = 0.27 kgCO2e</w:t>
      </w:r>
    </w:p>
    <w:bookmarkEnd w:id="33"/>
    <w:bookmarkEnd w:id="34"/>
    <w:bookmarkStart w:id="38" w:name="downstream-emissions-scope-3"/>
    <w:p>
      <w:pPr>
        <w:pStyle w:val="Heading3"/>
      </w:pPr>
      <w:r>
        <w:t xml:space="preserve">3.3. Downstream Emissions (Scope 3)</w:t>
      </w:r>
    </w:p>
    <w:bookmarkStart w:id="35" w:name="X1b4650001172a716ddbf67bbc4140a9c1de2a24"/>
    <w:p>
      <w:pPr>
        <w:pStyle w:val="Heading4"/>
      </w:pPr>
      <w:r>
        <w:t xml:space="preserve">3.3.1. Downstream Transport &amp; Distribution (Category 9: Downstream transportation and distribution)</w:t>
      </w:r>
    </w:p>
    <w:p>
      <w:pPr>
        <w:pStyle w:val="FirstParagraph"/>
      </w:pPr>
      <w:r>
        <w:t xml:space="preserve">Emissions from the last-mile delivery of the product to the end-user.</w:t>
      </w:r>
    </w:p>
    <w:p>
      <w:pPr>
        <w:numPr>
          <w:ilvl w:val="0"/>
          <w:numId w:val="1009"/>
        </w:numPr>
        <w:pStyle w:val="Compact"/>
      </w:pPr>
      <w:r>
        <w:t xml:space="preserve">Product Mass: 0.5 kg (0.0005 tonnes)</w:t>
      </w:r>
    </w:p>
    <w:p>
      <w:pPr>
        <w:numPr>
          <w:ilvl w:val="0"/>
          <w:numId w:val="1009"/>
        </w:numPr>
        <w:pStyle w:val="Compact"/>
      </w:pPr>
      <w:r>
        <w:t xml:space="preserve">Last-Mile Delivery (Parcel Service, Road): 0.0005 tonnes * 100 km * 0.15 kgCO2e/tonne-km = 0.0075 kgCO2e</w:t>
      </w:r>
    </w:p>
    <w:p>
      <w:pPr>
        <w:numPr>
          <w:ilvl w:val="0"/>
          <w:numId w:val="1009"/>
        </w:numPr>
        <w:pStyle w:val="Compact"/>
      </w:pPr>
      <w:r>
        <w:rPr>
          <w:bCs/>
          <w:b/>
        </w:rPr>
        <w:t xml:space="preserve">Total Downstream Transport Emissions:</w:t>
      </w:r>
      <w:r>
        <w:t xml:space="preserve"> </w:t>
      </w:r>
      <w:r>
        <w:t xml:space="preserve">0.0075 kgCO2e</w:t>
      </w:r>
    </w:p>
    <w:bookmarkEnd w:id="35"/>
    <w:bookmarkStart w:id="36" w:name="X8d12bf184da61ed1b86eb215c14cb92288143a6"/>
    <w:p>
      <w:pPr>
        <w:pStyle w:val="Heading4"/>
      </w:pPr>
      <w:r>
        <w:t xml:space="preserve">3.3.2. Use Phase (Category 11: Use of sold products)</w:t>
      </w:r>
    </w:p>
    <w:p>
      <w:pPr>
        <w:pStyle w:val="FirstParagraph"/>
      </w:pPr>
      <w:r>
        <w:t xml:space="preserve">Energy consumption during the product\'s lifespan by the consumer, assuming usage in Europe.</w:t>
      </w:r>
    </w:p>
    <w:p>
      <w:pPr>
        <w:numPr>
          <w:ilvl w:val="0"/>
          <w:numId w:val="1010"/>
        </w:numPr>
        <w:pStyle w:val="Compact"/>
      </w:pPr>
      <w:r>
        <w:t xml:space="preserve">Product Lifespan: 3 years</w:t>
      </w:r>
    </w:p>
    <w:p>
      <w:pPr>
        <w:numPr>
          <w:ilvl w:val="0"/>
          <w:numId w:val="1010"/>
        </w:numPr>
        <w:pStyle w:val="Compact"/>
      </w:pPr>
      <w:r>
        <w:t xml:space="preserve">Energy Consumption in Use: 5 kWh/year</w:t>
      </w:r>
    </w:p>
    <w:p>
      <w:pPr>
        <w:numPr>
          <w:ilvl w:val="0"/>
          <w:numId w:val="1010"/>
        </w:numPr>
        <w:pStyle w:val="Compact"/>
      </w:pPr>
      <w:r>
        <w:t xml:space="preserve">Total Energy Consumption over Lifespan: 5 kWh/year * 3 years = 15 kWh</w:t>
      </w:r>
    </w:p>
    <w:p>
      <w:pPr>
        <w:numPr>
          <w:ilvl w:val="0"/>
          <w:numId w:val="1010"/>
        </w:numPr>
        <w:pStyle w:val="Compact"/>
      </w:pPr>
      <w:r>
        <w:t xml:space="preserve">European Average Grid Electricity Emission Factor (representative): 0.25 kgCO2e/kWh</w:t>
      </w:r>
    </w:p>
    <w:p>
      <w:pPr>
        <w:numPr>
          <w:ilvl w:val="0"/>
          <w:numId w:val="1010"/>
        </w:numPr>
        <w:pStyle w:val="Compact"/>
      </w:pPr>
      <w:r>
        <w:rPr>
          <w:bCs/>
          <w:b/>
        </w:rPr>
        <w:t xml:space="preserve">Use Phase Emissions:</w:t>
      </w:r>
      <w:r>
        <w:t xml:space="preserve"> </w:t>
      </w:r>
      <w:r>
        <w:t xml:space="preserve">15 kWh * 0.25 kgCO2e/kWh = 3.75 kgCO2e</w:t>
      </w:r>
    </w:p>
    <w:bookmarkEnd w:id="36"/>
    <w:bookmarkStart w:id="37" w:name="X1d056235aa72f42174d6f8a6dc93286eaa76999"/>
    <w:p>
      <w:pPr>
        <w:pStyle w:val="Heading4"/>
      </w:pPr>
      <w:r>
        <w:t xml:space="preserve">3.3.3. End-of-Life (EoL) Treatment (Category 12: End-of-life treatment of sold products)</w:t>
      </w:r>
    </w:p>
    <w:p>
      <w:pPr>
        <w:pStyle w:val="FirstParagraph"/>
      </w:pPr>
      <w:r>
        <w:t xml:space="preserve">Impacts from disposal and recycling, including benefits from circular economy programs.</w:t>
      </w:r>
    </w:p>
    <w:p>
      <w:pPr>
        <w:numPr>
          <w:ilvl w:val="0"/>
          <w:numId w:val="1011"/>
        </w:numPr>
        <w:pStyle w:val="Compact"/>
      </w:pPr>
      <w:r>
        <w:t xml:space="preserve">Total Product Mass: 0.5 kg</w:t>
      </w:r>
    </w:p>
    <w:p>
      <w:pPr>
        <w:numPr>
          <w:ilvl w:val="0"/>
          <w:numId w:val="1011"/>
        </w:numPr>
        <w:pStyle w:val="Compact"/>
      </w:pPr>
      <w:r>
        <w:t xml:space="preserve">Recyclability Percentage: 60%</w:t>
      </w:r>
    </w:p>
    <w:p>
      <w:pPr>
        <w:numPr>
          <w:ilvl w:val="0"/>
          <w:numId w:val="1011"/>
        </w:numPr>
        <w:pStyle w:val="Compact"/>
      </w:pPr>
      <w:r>
        <w:t xml:space="preserve">Mass Recycled: 0.5 kg * 0.60 = 0.3 kg</w:t>
      </w:r>
    </w:p>
    <w:p>
      <w:pPr>
        <w:numPr>
          <w:ilvl w:val="0"/>
          <w:numId w:val="1011"/>
        </w:numPr>
        <w:pStyle w:val="Compact"/>
      </w:pPr>
      <w:r>
        <w:t xml:space="preserve">Mass Disposed: 0.5 kg * 0.40 = 0.2 kg</w:t>
      </w:r>
    </w:p>
    <w:p>
      <w:pPr>
        <w:numPr>
          <w:ilvl w:val="0"/>
          <w:numId w:val="1011"/>
        </w:numPr>
        <w:pStyle w:val="Compact"/>
      </w:pPr>
      <w:r>
        <w:t xml:space="preserve">Recycling Credit (simplified, assuming 50% avoidance of virgin material emissions for recycled portion): (0.60 * Total Material Carbon) * -0.5 = (0.60 * 5.58 kgCO2e) * -0.5 = -1.674 kgCO2e</w:t>
      </w:r>
    </w:p>
    <w:p>
      <w:pPr>
        <w:numPr>
          <w:ilvl w:val="0"/>
          <w:numId w:val="1011"/>
        </w:numPr>
        <w:pStyle w:val="Compact"/>
      </w:pPr>
      <w:r>
        <w:t xml:space="preserve">Disposal Emissions (simplified for mixed waste to landfill): 0.2 kg * 0.5 kgCO2e/kg = 0.10 kgCO2e</w:t>
      </w:r>
    </w:p>
    <w:p>
      <w:pPr>
        <w:numPr>
          <w:ilvl w:val="0"/>
          <w:numId w:val="1011"/>
        </w:numPr>
        <w:pStyle w:val="Compact"/>
      </w:pPr>
      <w:r>
        <w:rPr>
          <w:bCs/>
          <w:b/>
        </w:rPr>
        <w:t xml:space="preserve">Net End-of-Life Emissions:</w:t>
      </w:r>
      <w:r>
        <w:t xml:space="preserve"> </w:t>
      </w:r>
      <w:r>
        <w:t xml:space="preserve">-1.674 kgCO2e + 0.10 kgCO2e = -1.574 kgCO2e</w:t>
      </w:r>
    </w:p>
    <w:p>
      <w:pPr>
        <w:pStyle w:val="FirstParagraph"/>
      </w:pPr>
      <w:r>
        <w:t xml:space="preserve">The company\'s established take-back program (mtrohtvdkj) facilitates higher recyclability and recovery rates, contributing to the noted recycling credit.</w:t>
      </w:r>
    </w:p>
    <w:p>
      <w:r>
        <w:pict>
          <v:rect style="width:0;height:1.5pt" o:hralign="center" o:hrstd="t" o:hr="t"/>
        </w:pict>
      </w:r>
    </w:p>
    <w:bookmarkEnd w:id="37"/>
    <w:bookmarkEnd w:id="38"/>
    <w:bookmarkEnd w:id="39"/>
    <w:bookmarkStart w:id="40" w:name="summary-of-product-carbon-footprint-pcf"/>
    <w:p>
      <w:pPr>
        <w:pStyle w:val="Heading2"/>
      </w:pPr>
      <w:r>
        <w:t xml:space="preserve">4. Summary of Product Carbon Footprint (PCF)</w:t>
      </w:r>
    </w:p>
    <w:p>
      <w:pPr>
        <w:pStyle w:val="FirstParagraph"/>
      </w:pPr>
      <w:r>
        <w:t xml:space="preserve">The total Product Carbon Footprint for one functional unit of spxuixqxlu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 of Total PCF</w:t>
            </w:r>
          </w:p>
        </w:tc>
      </w:tr>
      <w:tr>
        <w:tc>
          <w:tcPr/>
          <w:p>
            <w:pPr>
              <w:pStyle w:val="Compact"/>
              <w:jc w:val="left"/>
            </w:pPr>
            <w:r>
              <w:rPr>
                <w:bCs/>
                <w:b/>
              </w:rPr>
              <w:t xml:space="preserve">Upstream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Materials Acquisition &amp; Pre-processing</w:t>
            </w:r>
          </w:p>
        </w:tc>
        <w:tc>
          <w:tcPr/>
          <w:p>
            <w:pPr>
              <w:pStyle w:val="Compact"/>
              <w:jc w:val="left"/>
            </w:pPr>
            <w:r>
              <w:t xml:space="preserve">Category 1</w:t>
            </w:r>
          </w:p>
        </w:tc>
        <w:tc>
          <w:tcPr/>
          <w:p>
            <w:pPr>
              <w:pStyle w:val="Compact"/>
              <w:jc w:val="left"/>
            </w:pPr>
            <w:r>
              <w:t xml:space="preserve">5.580</w:t>
            </w:r>
          </w:p>
        </w:tc>
        <w:tc>
          <w:tcPr/>
          <w:p>
            <w:pPr>
              <w:pStyle w:val="Compact"/>
              <w:jc w:val="left"/>
            </w:pPr>
            <w:r>
              <w:t xml:space="preserve">69.08%</w:t>
            </w:r>
          </w:p>
        </w:tc>
      </w:tr>
      <w:tr>
        <w:tc>
          <w:tcPr/>
          <w:p>
            <w:pPr>
              <w:pStyle w:val="Compact"/>
              <w:jc w:val="left"/>
            </w:pPr>
            <w:r>
              <w:t xml:space="preserve">    Upstream Transport</w:t>
            </w:r>
          </w:p>
        </w:tc>
        <w:tc>
          <w:tcPr/>
          <w:p>
            <w:pPr>
              <w:pStyle w:val="Compact"/>
              <w:jc w:val="left"/>
            </w:pPr>
            <w:r>
              <w:t xml:space="preserve">Category 4</w:t>
            </w:r>
          </w:p>
        </w:tc>
        <w:tc>
          <w:tcPr/>
          <w:p>
            <w:pPr>
              <w:pStyle w:val="Compact"/>
              <w:jc w:val="left"/>
            </w:pPr>
            <w:r>
              <w:t xml:space="preserve">0.045</w:t>
            </w:r>
          </w:p>
        </w:tc>
        <w:tc>
          <w:tcPr/>
          <w:p>
            <w:pPr>
              <w:pStyle w:val="Compact"/>
              <w:jc w:val="left"/>
            </w:pPr>
            <w:r>
              <w:t xml:space="preserve">0.56%</w:t>
            </w:r>
          </w:p>
        </w:tc>
      </w:tr>
      <w:tr>
        <w:tc>
          <w:tcPr/>
          <w:p>
            <w:pPr>
              <w:pStyle w:val="Compact"/>
              <w:jc w:val="left"/>
            </w:pPr>
            <w:r>
              <w:rPr>
                <w:bCs/>
                <w:b/>
              </w:rPr>
              <w:t xml:space="preserve">Production/Manufacturing</w:t>
            </w:r>
          </w:p>
        </w:tc>
        <w:tc>
          <w:tcPr/>
          <w:p>
            <w:pPr>
              <w:pStyle w:val="Compact"/>
            </w:pPr>
          </w:p>
        </w:tc>
        <w:tc>
          <w:tcPr/>
          <w:p>
            <w:pPr>
              <w:pStyle w:val="Compact"/>
            </w:pPr>
          </w:p>
        </w:tc>
        <w:tc>
          <w:tcPr/>
          <w:p>
            <w:pPr>
              <w:pStyle w:val="Compact"/>
            </w:pPr>
          </w:p>
        </w:tc>
      </w:tr>
      <w:tr>
        <w:tc>
          <w:tcPr/>
          <w:p>
            <w:pPr>
              <w:pStyle w:val="Compact"/>
              <w:jc w:val="left"/>
            </w:pPr>
            <w:r>
              <w:t xml:space="preserve">    Direct Emissions (On-site combustion)</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    Purchased Electricity</w:t>
            </w:r>
          </w:p>
        </w:tc>
        <w:tc>
          <w:tcPr/>
          <w:p>
            <w:pPr>
              <w:pStyle w:val="Compact"/>
              <w:jc w:val="left"/>
            </w:pPr>
            <w:r>
              <w:t xml:space="preserve">Scope 2</w:t>
            </w:r>
          </w:p>
        </w:tc>
        <w:tc>
          <w:tcPr/>
          <w:p>
            <w:pPr>
              <w:pStyle w:val="Compact"/>
              <w:jc w:val="left"/>
            </w:pPr>
            <w:r>
              <w:t xml:space="preserve">0.270</w:t>
            </w:r>
          </w:p>
        </w:tc>
        <w:tc>
          <w:tcPr/>
          <w:p>
            <w:pPr>
              <w:pStyle w:val="Compact"/>
              <w:jc w:val="left"/>
            </w:pPr>
            <w:r>
              <w:t xml:space="preserve">3.34%</w:t>
            </w:r>
          </w:p>
        </w:tc>
      </w:tr>
      <w:tr>
        <w:tc>
          <w:tcPr/>
          <w:p>
            <w:pPr>
              <w:pStyle w:val="Compact"/>
              <w:jc w:val="left"/>
            </w:pPr>
            <w:r>
              <w:rPr>
                <w:bCs/>
                <w:b/>
              </w:rPr>
              <w:t xml:space="preserve">Downstream Emissions</w:t>
            </w:r>
          </w:p>
        </w:tc>
        <w:tc>
          <w:tcPr/>
          <w:p>
            <w:pPr>
              <w:pStyle w:val="Compact"/>
              <w:jc w:val="left"/>
            </w:pPr>
            <w:r>
              <w:rPr>
                <w:bCs/>
                <w:b/>
              </w:rPr>
              <w:t xml:space="preserve">Scope 3</w:t>
            </w:r>
          </w:p>
        </w:tc>
        <w:tc>
          <w:tcPr/>
          <w:p>
            <w:pPr>
              <w:pStyle w:val="Compact"/>
            </w:pPr>
          </w:p>
        </w:tc>
        <w:tc>
          <w:tcPr/>
          <w:p>
            <w:pPr>
              <w:pStyle w:val="Compact"/>
            </w:pPr>
          </w:p>
        </w:tc>
      </w:tr>
      <w:tr>
        <w:tc>
          <w:tcPr/>
          <w:p>
            <w:pPr>
              <w:pStyle w:val="Compact"/>
              <w:jc w:val="left"/>
            </w:pPr>
            <w:r>
              <w:t xml:space="preserve">    Downstream Transport &amp; Distribution</w:t>
            </w:r>
          </w:p>
        </w:tc>
        <w:tc>
          <w:tcPr/>
          <w:p>
            <w:pPr>
              <w:pStyle w:val="Compact"/>
              <w:jc w:val="left"/>
            </w:pPr>
            <w:r>
              <w:t xml:space="preserve">Category 9</w:t>
            </w:r>
          </w:p>
        </w:tc>
        <w:tc>
          <w:tcPr/>
          <w:p>
            <w:pPr>
              <w:pStyle w:val="Compact"/>
              <w:jc w:val="left"/>
            </w:pPr>
            <w:r>
              <w:t xml:space="preserve">0.008</w:t>
            </w:r>
          </w:p>
        </w:tc>
        <w:tc>
          <w:tcPr/>
          <w:p>
            <w:pPr>
              <w:pStyle w:val="Compact"/>
              <w:jc w:val="left"/>
            </w:pPr>
            <w:r>
              <w:t xml:space="preserve">0.10%</w:t>
            </w:r>
          </w:p>
        </w:tc>
      </w:tr>
      <w:tr>
        <w:tc>
          <w:tcPr/>
          <w:p>
            <w:pPr>
              <w:pStyle w:val="Compact"/>
              <w:jc w:val="left"/>
            </w:pPr>
            <w:r>
              <w:t xml:space="preserve">    Use Phase</w:t>
            </w:r>
          </w:p>
        </w:tc>
        <w:tc>
          <w:tcPr/>
          <w:p>
            <w:pPr>
              <w:pStyle w:val="Compact"/>
              <w:jc w:val="left"/>
            </w:pPr>
            <w:r>
              <w:t xml:space="preserve">Category 11</w:t>
            </w:r>
          </w:p>
        </w:tc>
        <w:tc>
          <w:tcPr/>
          <w:p>
            <w:pPr>
              <w:pStyle w:val="Compact"/>
              <w:jc w:val="left"/>
            </w:pPr>
            <w:r>
              <w:t xml:space="preserve">3.750</w:t>
            </w:r>
          </w:p>
        </w:tc>
        <w:tc>
          <w:tcPr/>
          <w:p>
            <w:pPr>
              <w:pStyle w:val="Compact"/>
              <w:jc w:val="left"/>
            </w:pPr>
            <w:r>
              <w:t xml:space="preserve">46.42%</w:t>
            </w:r>
          </w:p>
        </w:tc>
      </w:tr>
      <w:tr>
        <w:tc>
          <w:tcPr/>
          <w:p>
            <w:pPr>
              <w:pStyle w:val="Compact"/>
              <w:jc w:val="left"/>
            </w:pPr>
            <w:r>
              <w:t xml:space="preserve">    End-of-Life Treatment</w:t>
            </w:r>
          </w:p>
        </w:tc>
        <w:tc>
          <w:tcPr/>
          <w:p>
            <w:pPr>
              <w:pStyle w:val="Compact"/>
              <w:jc w:val="left"/>
            </w:pPr>
            <w:r>
              <w:t xml:space="preserve">Category 12</w:t>
            </w:r>
          </w:p>
        </w:tc>
        <w:tc>
          <w:tcPr/>
          <w:p>
            <w:pPr>
              <w:pStyle w:val="Compact"/>
              <w:jc w:val="left"/>
            </w:pPr>
            <w:r>
              <w:t xml:space="preserve">-1.574</w:t>
            </w:r>
          </w:p>
        </w:tc>
        <w:tc>
          <w:tcPr/>
          <w:p>
            <w:pPr>
              <w:pStyle w:val="Compact"/>
              <w:jc w:val="left"/>
            </w:pPr>
            <w:r>
              <w:t xml:space="preserve">-19.49%</w:t>
            </w:r>
          </w:p>
        </w:tc>
      </w:tr>
      <w:tr>
        <w:tc>
          <w:tcPr>
            <w:gridSpan w:val="2"/>
          </w:tcPr>
          <w:p>
            <w:pPr>
              <w:pStyle w:val="Compact"/>
              <w:jc w:val="left"/>
            </w:pPr>
            <w:r>
              <w:t xml:space="preserve">TOTAL PRODUCT CARBON FOOTPRINT (kgCO2e per unit)</w:t>
            </w:r>
          </w:p>
        </w:tc>
        <w:tc>
          <w:tcPr/>
          <w:p>
            <w:pPr>
              <w:pStyle w:val="Compact"/>
              <w:jc w:val="left"/>
            </w:pPr>
            <w:r>
              <w:t xml:space="preserve">8.079</w:t>
            </w:r>
          </w:p>
        </w:tc>
        <w:tc>
          <w:tcPr/>
          <w:p>
            <w:pPr>
              <w:pStyle w:val="Compact"/>
              <w:jc w:val="left"/>
            </w:pPr>
            <w:r>
              <w:t xml:space="preserve">100.00%</w:t>
            </w:r>
          </w:p>
        </w:tc>
      </w:tr>
    </w:tbl>
    <w:p>
      <w:pPr>
        <w:pStyle w:val="BodyText"/>
      </w:pPr>
      <w:r>
        <w:rPr>
          <w:iCs/>
          <w:i/>
        </w:rPr>
        <w:t xml:space="preserve">Note: Percentages may not sum exactly to 100% due to rounding and negative emissions from End-of-Life credits.</w:t>
      </w:r>
    </w:p>
    <w:p>
      <w:r>
        <w:pict>
          <v:rect style="width:0;height:1.5pt" o:hralign="center" o:hrstd="t" o:hr="t"/>
        </w:pict>
      </w:r>
    </w:p>
    <w:bookmarkEnd w:id="40"/>
    <w:bookmarkStart w:id="44" w:name="review-reporting"/>
    <w:p>
      <w:pPr>
        <w:pStyle w:val="Heading2"/>
      </w:pPr>
      <w:r>
        <w:t xml:space="preserve">5. Review &amp; Reporting</w:t>
      </w:r>
    </w:p>
    <w:bookmarkStart w:id="41" w:name="carbon-hotspots"/>
    <w:p>
      <w:pPr>
        <w:pStyle w:val="Heading3"/>
      </w:pPr>
      <w:r>
        <w:t xml:space="preserve">5.1. Carbon Hotspots</w:t>
      </w:r>
    </w:p>
    <w:p>
      <w:pPr>
        <w:pStyle w:val="FirstParagraph"/>
      </w:pPr>
      <w:r>
        <w:t xml:space="preserve">The analysis reveals the following carbon hotspots for spxuixqxlu:</w:t>
      </w:r>
    </w:p>
    <w:p>
      <w:pPr>
        <w:numPr>
          <w:ilvl w:val="0"/>
          <w:numId w:val="1012"/>
        </w:numPr>
        <w:pStyle w:val="Compact"/>
      </w:pPr>
      <w:r>
        <w:rPr>
          <w:bCs/>
          <w:b/>
        </w:rPr>
        <w:t xml:space="preserve">Materials Acquisition &amp; Pre-processing (Scope 3 - Category 1):</w:t>
      </w:r>
      <w:r>
        <w:t xml:space="preserve"> </w:t>
      </w:r>
      <w:r>
        <w:t xml:space="preserve">This stage accounts for the largest portion of the PCF (approximately 69%), primarily driven by the energy-intensive production of electronics, plastics, and metals.</w:t>
      </w:r>
    </w:p>
    <w:p>
      <w:pPr>
        <w:numPr>
          <w:ilvl w:val="0"/>
          <w:numId w:val="1012"/>
        </w:numPr>
        <w:pStyle w:val="Compact"/>
      </w:pPr>
      <w:r>
        <w:rPr>
          <w:bCs/>
          <w:b/>
        </w:rPr>
        <w:t xml:space="preserve">Use Phase (Scope 3 - Category 11):</w:t>
      </w:r>
      <w:r>
        <w:t xml:space="preserve"> </w:t>
      </w:r>
      <w:r>
        <w:t xml:space="preserve">The energy consumption during the product\'s lifespan contributes significantly (approximately 46%) to the overall footprint, highlighting the importance of energy efficiency in product design.</w:t>
      </w:r>
    </w:p>
    <w:p>
      <w:pPr>
        <w:numPr>
          <w:ilvl w:val="0"/>
          <w:numId w:val="1012"/>
        </w:numPr>
        <w:pStyle w:val="Compact"/>
      </w:pPr>
      <w:r>
        <w:rPr>
          <w:bCs/>
          <w:b/>
        </w:rPr>
        <w:t xml:space="preserve">End-of-Life (Scope 3 - Category 12):</w:t>
      </w:r>
      <w:r>
        <w:t xml:space="preserve"> </w:t>
      </w:r>
      <w:r>
        <w:t xml:space="preserve">The established circular/take-back programs and high recyclability percentage provide a significant net carbon credit, demonstrating the positive impact of circular economy initiatives.</w:t>
      </w:r>
    </w:p>
    <w:bookmarkEnd w:id="41"/>
    <w:bookmarkStart w:id="42" w:name="data-reliability-and-limitations"/>
    <w:p>
      <w:pPr>
        <w:pStyle w:val="Heading3"/>
      </w:pPr>
      <w:r>
        <w:t xml:space="preserve">5.2. Data Reliability and Limitations</w:t>
      </w:r>
    </w:p>
    <w:p>
      <w:pPr>
        <w:pStyle w:val="FirstParagraph"/>
      </w:pPr>
      <w:r>
        <w:t xml:space="preserve">The reliability of this report is considered high for demonstrating the methodology as per GHG Protocol standards. However, it is important to note the following limitations:</w:t>
      </w:r>
    </w:p>
    <w:p>
      <w:pPr>
        <w:numPr>
          <w:ilvl w:val="0"/>
          <w:numId w:val="1013"/>
        </w:numPr>
        <w:pStyle w:val="Compact"/>
      </w:pPr>
      <w:r>
        <w:t xml:space="preserve">Specific activity data for BOM, transport, energy use, and EoL scenarios were provided as placeholder strings (e.g., \'wxyzknqy\', \'Select Mode\', \'ytogjsprjt\', \'ohkhlrdnir\', \'qdnlpnmmyv\', \'jowesmidgy\', \'djxresmuij\', \'rfdnffrxsr\', \'mtrohtvdkj\'). The calculations herein use simulated, illustrative values based on these parameters to demonstrate the methodology. Real-world data collection would yield more precise results.</w:t>
      </w:r>
    </w:p>
    <w:p>
      <w:pPr>
        <w:numPr>
          <w:ilvl w:val="0"/>
          <w:numId w:val="1013"/>
        </w:numPr>
        <w:pStyle w:val="Compact"/>
      </w:pPr>
      <w:r>
        <w:t xml:space="preserve">Emission factors are based on industry-standard databases (Ecoinvent/DEFRA) which provide average values. Company-specific or supplier-specific primary data, where available, would enhance accuracy.</w:t>
      </w:r>
    </w:p>
    <w:p>
      <w:pPr>
        <w:numPr>
          <w:ilvl w:val="0"/>
          <w:numId w:val="1013"/>
        </w:numPr>
        <w:pStyle w:val="Compact"/>
      </w:pPr>
      <w:r>
        <w:t xml:space="preserve">The application of the 2026 LSR Standard for land use and carbon removals is acknowledged. Specific quantitative impacts are not detailed here as the provided product and parameters do not explicitly detail land-based activities or removals that fall directly under the detailed requirements of this standard beyond general mentions of material sourcing. The accompanying Guidance document, expected in Q2 2026, will provide further detail on implementation.</w:t>
      </w:r>
    </w:p>
    <w:p>
      <w:pPr>
        <w:numPr>
          <w:ilvl w:val="0"/>
          <w:numId w:val="1013"/>
        </w:numPr>
        <w:pStyle w:val="Compact"/>
      </w:pPr>
      <w:r>
        <w:t xml:space="preserve">While aiming for 95% Scope 3 coverage, the detail of placeholder data limits a full comprehensive assessment of all 15 Scope 3 categories. This report focuses on the most relevant categories for a manufactured product.</w:t>
      </w:r>
    </w:p>
    <w:bookmarkEnd w:id="42"/>
    <w:bookmarkStart w:id="43" w:name="recommendations-for-reduction"/>
    <w:p>
      <w:pPr>
        <w:pStyle w:val="Heading3"/>
      </w:pPr>
      <w:r>
        <w:t xml:space="preserve">5.3. Recommendations for Reduction</w:t>
      </w:r>
    </w:p>
    <w:p>
      <w:pPr>
        <w:numPr>
          <w:ilvl w:val="0"/>
          <w:numId w:val="1014"/>
        </w:numPr>
        <w:pStyle w:val="Compact"/>
      </w:pPr>
      <w:r>
        <w:rPr>
          <w:bCs/>
          <w:b/>
        </w:rPr>
        <w:t xml:space="preserve">Material Optimization:</w:t>
      </w:r>
      <w:r>
        <w:t xml:space="preserve"> </w:t>
      </w:r>
      <w:r>
        <w:t xml:space="preserve">Explore alternative, lower-carbon materials or increase recycled content in components, especially plastics and electronics. Engage with suppliers to collect primary data and identify opportunities for emissions reduction in their processes.</w:t>
      </w:r>
    </w:p>
    <w:p>
      <w:pPr>
        <w:numPr>
          <w:ilvl w:val="0"/>
          <w:numId w:val="1014"/>
        </w:numPr>
        <w:pStyle w:val="Compact"/>
      </w:pPr>
      <w:r>
        <w:rPr>
          <w:bCs/>
          <w:b/>
        </w:rPr>
        <w:t xml:space="preserve">Energy Efficiency in Use:</w:t>
      </w:r>
      <w:r>
        <w:t xml:space="preserve"> </w:t>
      </w:r>
      <w:r>
        <w:t xml:space="preserve">Invest in R&amp;D to enhance the energy efficiency of spxuixqxlu during its operational life. Provide clearer guidance to consumers on sustainable use to minimize energy consumption.</w:t>
      </w:r>
    </w:p>
    <w:p>
      <w:pPr>
        <w:numPr>
          <w:ilvl w:val="0"/>
          <w:numId w:val="1014"/>
        </w:numPr>
        <w:pStyle w:val="Compact"/>
      </w:pPr>
      <w:r>
        <w:rPr>
          <w:bCs/>
          <w:b/>
        </w:rPr>
        <w:t xml:space="preserve">Renewable Energy Sourcing:</w:t>
      </w:r>
      <w:r>
        <w:t xml:space="preserve"> </w:t>
      </w:r>
      <w:r>
        <w:t xml:space="preserve">Continue to increase renewable energy usage at manufacturing sites and investigate opportunities for renewable energy in the broader supply chain.</w:t>
      </w:r>
    </w:p>
    <w:p>
      <w:pPr>
        <w:numPr>
          <w:ilvl w:val="0"/>
          <w:numId w:val="1014"/>
        </w:numPr>
        <w:pStyle w:val="Compact"/>
      </w:pPr>
      <w:r>
        <w:rPr>
          <w:bCs/>
          <w:b/>
        </w:rPr>
        <w:t xml:space="preserve">Logistics Optimization:</w:t>
      </w:r>
      <w:r>
        <w:t xml:space="preserve"> </w:t>
      </w:r>
      <w:r>
        <w:t xml:space="preserve">Optimize transport routes and modes, prioritizing lower-emission options where feasible for both upstream and downstream logistics.</w:t>
      </w:r>
    </w:p>
    <w:p>
      <w:pPr>
        <w:numPr>
          <w:ilvl w:val="0"/>
          <w:numId w:val="1014"/>
        </w:numPr>
        <w:pStyle w:val="Compact"/>
      </w:pPr>
      <w:r>
        <w:rPr>
          <w:bCs/>
          <w:b/>
        </w:rPr>
        <w:t xml:space="preserve">Circular Economy Initiatives:</w:t>
      </w:r>
      <w:r>
        <w:t xml:space="preserve"> </w:t>
      </w:r>
      <w:r>
        <w:t xml:space="preserve">Expand and promote take-back and recycling programs (mtrohtvdkj) to maximize the recovery of materials and further enhance the end-of-life benefits.</w:t>
      </w:r>
    </w:p>
    <w:p>
      <w:pPr>
        <w:pStyle w:val="FirstParagraph"/>
      </w:pPr>
      <w:r>
        <w:t xml:space="preserve">Confidential - Internal Use Only | Page X of 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spxuixqxlu</dc:title>
  <dc:creator/>
  <dc:description>High-detail Product Carbon Footprint (PCF) analysis report for spxuixqxlu, conducted by inwwgnpjqz for tyzqdzhqno, adhering to GHG Protocol and 2026 LSR Standard.</dc:description>
  <dc:language>en</dc:language>
  <cp:keywords/>
  <dcterms:created xsi:type="dcterms:W3CDTF">2026-05-30T21:04:22Z</dcterms:created>
  <dcterms:modified xsi:type="dcterms:W3CDTF">2026-05-30T21:04:22Z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