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spxjprfklm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spxjprfklm</w:t>
      </w:r>
    </w:p>
    <w:p>
      <w:pPr>
        <w:pStyle w:val="BodyText"/>
      </w:pPr>
      <w:r>
        <w:rPr>
          <w:bCs/>
          <w:b/>
        </w:rPr>
        <w:t xml:space="preserve">Company:</w:t>
      </w:r>
      <w:r>
        <w:t xml:space="preserve"> </w:t>
      </w:r>
      <w:r>
        <w:t xml:space="preserve">wrkmylmsqj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yfdvvqhvyp</w:t>
      </w:r>
    </w:p>
    <w:p>
      <w:pPr>
        <w:pStyle w:val="BodyText"/>
      </w:pPr>
      <w:r>
        <w:t xml:space="preserve">This report is generated based on available data and industry standards, providing an estimate of the product\'s carbon footprint.</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spxjprfklm</w:t>
      </w:r>
    </w:p>
    <w:p>
      <w:pPr>
        <w:pStyle w:val="BodyText"/>
      </w:pPr>
      <w:r>
        <w:rPr>
          <w:bCs/>
          <w:b/>
        </w:rPr>
        <w:t xml:space="preserve">Company:</w:t>
      </w:r>
      <w:r>
        <w:t xml:space="preserve"> </w:t>
      </w:r>
      <w:r>
        <w:t xml:space="preserve">wrkmylmsqj</w:t>
      </w:r>
    </w:p>
    <w:p>
      <w:pPr>
        <w:pStyle w:val="BodyText"/>
      </w:pPr>
      <w:r>
        <w:rPr>
          <w:bCs/>
          <w:b/>
        </w:rPr>
        <w:t xml:space="preserve">Senior Sustainability Consultant:</w:t>
      </w:r>
      <w:r>
        <w:t xml:space="preserve"> </w:t>
      </w:r>
      <w:r>
        <w:t xml:space="preserve">yfdvvqhvyp</w:t>
      </w:r>
    </w:p>
    <w:p>
      <w:pPr>
        <w:pStyle w:val="BodyText"/>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details the Product Carbon Footprint (PCF) for \'spxjprfklm\', manufactured by \'wrkmylmsqj\'. The analysis adheres to the GHG Protocol standards, providing a comprehensive assessment from material acquisition to end-of-life. As per 2026 requirements, particular attention has been paid to the Land Sector and Removals (LSR) Standard and achieving at least 95% Scope 3 reporting coverage. The total PCF for one functional unit of \'spxjprfklm\' is calculated to be 42.76 kg CO2e. Key hotspots include the use phase energy consumption and initial material production, while circular economy initiatives significantly offset end-of-life impacts.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\'spxjprfklm\' follows a cradle-to-grave approach, guided by the five steps outlined below, in strict accordance with the GHG Protocol Corporate Value Chain (Scope 3) Standard and the 2026 Land Sector and Removals (LSR)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spxjprfklm.</w:t>
      </w:r>
    </w:p>
    <w:p>
      <w:pPr>
        <w:numPr>
          <w:ilvl w:val="0"/>
          <w:numId w:val="1001"/>
        </w:numPr>
        <w:pStyle w:val="Compact"/>
      </w:pPr>
      <w:r>
        <w:rPr>
          <w:bCs/>
          <w:b/>
        </w:rPr>
        <w:t xml:space="preserve">System Boundary:</w:t>
      </w:r>
      <w:r>
        <w:t xml:space="preserve"> </w:t>
      </w:r>
      <w:r>
        <w:t xml:space="preserve">While the primary focus for production emissions is "factory_gate", this report expands to a comprehensive cradle-to-grave assessment, including raw material extraction, manufacturing, transport, use, and end-of-life phases, to provide a holistic view as requested by detailed parameters.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Allocation:</w:t>
      </w:r>
      <w:r>
        <w:t xml:space="preserve"> </w:t>
      </w:r>
      <w:r>
        <w:t xml:space="preserve">Emissions are directly allocated to the functional unit. Recycling benefits are accounted for as avoided emissions.</w:t>
      </w:r>
    </w:p>
    <w:p>
      <w:pPr>
        <w:numPr>
          <w:ilvl w:val="0"/>
          <w:numId w:val="1001"/>
        </w:numPr>
        <w:pStyle w:val="Compact"/>
      </w:pPr>
      <w:r>
        <w:rPr>
          <w:bCs/>
          <w:b/>
        </w:rPr>
        <w:t xml:space="preserve">Accounting Standard:</w:t>
      </w:r>
      <w:r>
        <w:t xml:space="preserve"> </w:t>
      </w:r>
      <w:r>
        <w:t xml:space="preserve">GHG Protocol.</w:t>
      </w:r>
    </w:p>
    <w:bookmarkEnd w:id="23"/>
    <w:bookmarkStart w:id="29" w:name="X07a1e5013417f474786ee5272d1ac84eaeb36ed"/>
    <w:p>
      <w:pPr>
        <w:pStyle w:val="Heading3"/>
      </w:pPr>
      <w:r>
        <w:t xml:space="preserve">2.2. Map Lifecycle (LCI Inventory Stages) &amp; 2.3. Collect Data (Primary/Secondary Data Points)</w:t>
      </w:r>
    </w:p>
    <w:p>
      <w:pPr>
        <w:pStyle w:val="FirstParagraph"/>
      </w:pPr>
      <w:r>
        <w:t xml:space="preserve">Detailed primary and secondary data were collected for each lifecycle stage. Where primary data were unavailable, industry-average emission factors were applied.</w:t>
      </w:r>
    </w:p>
    <w:bookmarkStart w:id="24" w:name="Xe893d997540df04a90936ab697eba69dfdf4692"/>
    <w:p>
      <w:pPr>
        <w:pStyle w:val="Heading4"/>
      </w:pPr>
      <w:r>
        <w:t xml:space="preserve">Material Acquisition &amp; Production (Upstream - Scope 3)</w:t>
      </w:r>
    </w:p>
    <w:p>
      <w:pPr>
        <w:pStyle w:val="FirstParagraph"/>
      </w:pPr>
      <w:r>
        <w:t xml:space="preserve">The Detailed Bill of Materials (BOM) provides specific pre-calculated carbon footprints for each component, ensuring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ID1</w:t>
            </w:r>
          </w:p>
        </w:tc>
        <w:tc>
          <w:tcPr/>
          <w:p>
            <w:pPr>
              <w:pStyle w:val="Compact"/>
              <w:jc w:val="left"/>
            </w:pPr>
            <w:r>
              <w:t xml:space="preserve">Steel</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ID2</w:t>
            </w:r>
          </w:p>
        </w:tc>
        <w:tc>
          <w:tcPr/>
          <w:p>
            <w:pPr>
              <w:pStyle w:val="Compact"/>
              <w:jc w:val="left"/>
            </w:pPr>
            <w:r>
              <w:t xml:space="preserve">Plastic</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1.5</w:t>
            </w:r>
          </w:p>
        </w:tc>
        <w:tc>
          <w:tcPr/>
          <w:p>
            <w:pPr>
              <w:pStyle w:val="Compact"/>
              <w:jc w:val="left"/>
            </w:pPr>
            <w:r>
              <w:t xml:space="preserve">7.5</w:t>
            </w:r>
          </w:p>
        </w:tc>
      </w:tr>
      <w:tr>
        <w:tc>
          <w:tcPr>
            <w:gridSpan w:val="7"/>
          </w:tcPr>
          <w:p>
            <w:pPr>
              <w:pStyle w:val="Compact"/>
              <w:jc w:val="right"/>
            </w:pPr>
            <w:r>
              <w:rPr>
                <w:bCs/>
                <w:b/>
              </w:rPr>
              <w:t xml:space="preserve">Total Material Emissions:</w:t>
            </w:r>
          </w:p>
        </w:tc>
        <w:tc>
          <w:tcPr/>
          <w:p>
            <w:pPr>
              <w:pStyle w:val="Compact"/>
              <w:jc w:val="left"/>
            </w:pPr>
            <w:r>
              <w:rPr>
                <w:bCs/>
                <w:b/>
              </w:rPr>
              <w:t xml:space="preserve">27.5 kg CO2e</w:t>
            </w:r>
          </w:p>
        </w:tc>
      </w:tr>
    </w:tbl>
    <w:bookmarkEnd w:id="24"/>
    <w:bookmarkStart w:id="25" w:name="Xe2eb322bee334cf364c6ecc16246a912b8de174"/>
    <w:p>
      <w:pPr>
        <w:pStyle w:val="Heading4"/>
      </w:pPr>
      <w:r>
        <w:t xml:space="preserve">Production Phase Energy (Operational - Scope 2)</w:t>
      </w:r>
    </w:p>
    <w:p>
      <w:pPr>
        <w:pStyle w:val="FirstParagraph"/>
      </w:pPr>
      <w:r>
        <w:t xml:space="preserve">Energy consumption during the manufacturing of \'spxjprfklm\' includes both renewable and non-renewable electricity.</w:t>
      </w:r>
    </w:p>
    <w:p>
      <w:pPr>
        <w:numPr>
          <w:ilvl w:val="0"/>
          <w:numId w:val="1002"/>
        </w:numPr>
        <w:pStyle w:val="Compact"/>
      </w:pPr>
      <w:r>
        <w:t xml:space="preserve">Energy Intensity (kWh/unit): 0.5 kWh/unit</w:t>
      </w:r>
    </w:p>
    <w:p>
      <w:pPr>
        <w:numPr>
          <w:ilvl w:val="0"/>
          <w:numId w:val="1002"/>
        </w:numPr>
        <w:pStyle w:val="Compact"/>
      </w:pPr>
      <w:r>
        <w:t xml:space="preserve">Renewable Energy Usage: 30%</w:t>
      </w:r>
    </w:p>
    <w:p>
      <w:pPr>
        <w:numPr>
          <w:ilvl w:val="0"/>
          <w:numId w:val="1002"/>
        </w:numPr>
        <w:pStyle w:val="Compact"/>
      </w:pPr>
      <w:r>
        <w:t xml:space="preserve">Non-renewable Energy Usage: 70%</w:t>
      </w:r>
    </w:p>
    <w:p>
      <w:pPr>
        <w:numPr>
          <w:ilvl w:val="0"/>
          <w:numId w:val="1002"/>
        </w:numPr>
        <w:pStyle w:val="Compact"/>
      </w:pPr>
      <w:r>
        <w:t xml:space="preserve">Grid Electricity Emission Factor (China): 0.556 kg CO2e/kWh</w:t>
      </w:r>
    </w:p>
    <w:bookmarkEnd w:id="25"/>
    <w:bookmarkStart w:id="26" w:name="transport-upstream-downstream---scope-3"/>
    <w:p>
      <w:pPr>
        <w:pStyle w:val="Heading4"/>
      </w:pPr>
      <w:r>
        <w:t xml:space="preserve">Transport (Upstream &amp; Downstream - Scope 3)</w:t>
      </w:r>
    </w:p>
    <w:p>
      <w:pPr>
        <w:pStyle w:val="FirstParagraph"/>
      </w:pPr>
      <w:r>
        <w:t xml:space="preserve">Logistics data incorporates specific transport modes and distances, reflecting the supply chain focus on Europe and last-mile delivery.</w:t>
      </w:r>
    </w:p>
    <w:p>
      <w:pPr>
        <w:numPr>
          <w:ilvl w:val="0"/>
          <w:numId w:val="1003"/>
        </w:numPr>
        <w:pStyle w:val="Compact"/>
      </w:pPr>
      <w:r>
        <w:t xml:space="preserve">Primary Transport Mode (Supply Chain Focus): Select Mode (assumed to be Heavy Goods Vehicle (HGV) road freight)</w:t>
      </w:r>
    </w:p>
    <w:p>
      <w:pPr>
        <w:numPr>
          <w:ilvl w:val="0"/>
          <w:numId w:val="1003"/>
        </w:numPr>
        <w:pStyle w:val="Compact"/>
      </w:pPr>
      <w:r>
        <w:t xml:space="preserve">Primary Transport Distance: 1500 km</w:t>
      </w:r>
    </w:p>
    <w:p>
      <w:pPr>
        <w:numPr>
          <w:ilvl w:val="0"/>
          <w:numId w:val="1003"/>
        </w:numPr>
        <w:pStyle w:val="Compact"/>
      </w:pPr>
      <w:r>
        <w:t xml:space="preserve">HGV Road Freight Emission Factor (Europe): 0.092 kg CO2e/tonne-km (Well-to-Wheel)</w:t>
      </w:r>
    </w:p>
    <w:p>
      <w:pPr>
        <w:numPr>
          <w:ilvl w:val="0"/>
          <w:numId w:val="1003"/>
        </w:numPr>
        <w:pStyle w:val="Compact"/>
      </w:pPr>
      <w:r>
        <w:t xml:space="preserve">Last-Mile Delivery Channel: Delivery Type (assumed to be Light Commercial Vehicle (LCV) road freight for a distance of 100 km for estimation)</w:t>
      </w:r>
    </w:p>
    <w:p>
      <w:pPr>
        <w:numPr>
          <w:ilvl w:val="0"/>
          <w:numId w:val="1003"/>
        </w:numPr>
        <w:pStyle w:val="Compact"/>
      </w:pPr>
      <w:r>
        <w:t xml:space="preserve">LCV Road Freight Emission Factor (Last Mile): 0.20 kg CO2e/tonne-km (estimated for a smaller, less efficient vehicle in local distribution)</w:t>
      </w:r>
    </w:p>
    <w:p>
      <w:pPr>
        <w:numPr>
          <w:ilvl w:val="0"/>
          <w:numId w:val="1003"/>
        </w:numPr>
        <w:pStyle w:val="Compact"/>
      </w:pPr>
      <w:r>
        <w:t xml:space="preserve">Product Mass for Transport: 15 kg (total from BOM)</w:t>
      </w:r>
    </w:p>
    <w:bookmarkEnd w:id="26"/>
    <w:bookmarkStart w:id="27" w:name="use-phase-downstream---scope-3"/>
    <w:p>
      <w:pPr>
        <w:pStyle w:val="Heading4"/>
      </w:pPr>
      <w:r>
        <w:t xml:space="preserve">Use Phase (Downstream - Scope 3)</w:t>
      </w:r>
    </w:p>
    <w:p>
      <w:pPr>
        <w:pStyle w:val="FirstParagraph"/>
      </w:pPr>
      <w:r>
        <w:t xml:space="preserve">The use phase calculation considers the product\'s lifespan and its energy consumption during operation.</w:t>
      </w:r>
    </w:p>
    <w:p>
      <w:pPr>
        <w:numPr>
          <w:ilvl w:val="0"/>
          <w:numId w:val="1004"/>
        </w:numPr>
        <w:pStyle w:val="Compact"/>
      </w:pPr>
      <w:r>
        <w:t xml:space="preserve">Product Lifespan: 5 years</w:t>
      </w:r>
    </w:p>
    <w:p>
      <w:pPr>
        <w:numPr>
          <w:ilvl w:val="0"/>
          <w:numId w:val="1004"/>
        </w:numPr>
        <w:pStyle w:val="Compact"/>
      </w:pPr>
      <w:r>
        <w:t xml:space="preserve">Energy Consumption in Use: 10 kWh/year</w:t>
      </w:r>
    </w:p>
    <w:p>
      <w:pPr>
        <w:numPr>
          <w:ilvl w:val="0"/>
          <w:numId w:val="1004"/>
        </w:numPr>
        <w:pStyle w:val="Compact"/>
      </w:pPr>
      <w:r>
        <w:t xml:space="preserve">Electricity Grid Emission Factor (China, for use phase): 0.556 kg CO2e/kWh</w:t>
      </w:r>
    </w:p>
    <w:bookmarkEnd w:id="27"/>
    <w:bookmarkStart w:id="28" w:name="Xbd5ce2581a055ba0d05236edb0e67e8783fa2ac"/>
    <w:p>
      <w:pPr>
        <w:pStyle w:val="Heading4"/>
      </w:pPr>
      <w:r>
        <w:t xml:space="preserve">End-of-Life (EoL) Scenarios (Downstream - Scope 3)</w:t>
      </w:r>
    </w:p>
    <w:p>
      <w:pPr>
        <w:pStyle w:val="FirstParagraph"/>
      </w:pPr>
      <w:r>
        <w:t xml:space="preserve">Circular economy impacts are incorporated through recyclability percentages and the presence of take-back programs.</w:t>
      </w:r>
    </w:p>
    <w:p>
      <w:pPr>
        <w:numPr>
          <w:ilvl w:val="0"/>
          <w:numId w:val="1005"/>
        </w:numPr>
        <w:pStyle w:val="Compact"/>
      </w:pPr>
      <w:r>
        <w:t xml:space="preserve">Recyclability Percentage: 80%</w:t>
      </w:r>
    </w:p>
    <w:p>
      <w:pPr>
        <w:numPr>
          <w:ilvl w:val="0"/>
          <w:numId w:val="1005"/>
        </w:numPr>
        <w:pStyle w:val="Compact"/>
      </w:pPr>
      <w:r>
        <w:t xml:space="preserve">Circular/Take-back Programs: Yes, an active take-back program is in place.</w:t>
      </w:r>
    </w:p>
    <w:p>
      <w:pPr>
        <w:numPr>
          <w:ilvl w:val="0"/>
          <w:numId w:val="1005"/>
        </w:numPr>
        <w:pStyle w:val="Compact"/>
      </w:pPr>
      <w:r>
        <w:t xml:space="preserve">Recycling Credit: 70% of virgin material\'s carbon footprint for the recycled portion (representing avoided emissions)</w:t>
      </w:r>
    </w:p>
    <w:p>
      <w:pPr>
        <w:numPr>
          <w:ilvl w:val="0"/>
          <w:numId w:val="1005"/>
        </w:numPr>
        <w:pStyle w:val="Compact"/>
      </w:pPr>
      <w:r>
        <w:t xml:space="preserve">Disposal Emission Factor (General Waste): 0.1 kg CO2e/kg (estimated for non-recycled waste)</w:t>
      </w:r>
    </w:p>
    <w:bookmarkEnd w:id="28"/>
    <w:bookmarkEnd w:id="29"/>
    <w:bookmarkStart w:id="30" w:name="Xb404f6bea4a0013006ec7a9103609d9ea6643c1"/>
    <w:p>
      <w:pPr>
        <w:pStyle w:val="Heading3"/>
      </w:pPr>
      <w:r>
        <w:t xml:space="preserve">2.4. Calculate Emissions (Activity * Emission Factor = CO2e)</w:t>
      </w:r>
    </w:p>
    <w:p>
      <w:pPr>
        <w:pStyle w:val="FirstParagraph"/>
      </w:pPr>
      <w:r>
        <w:t xml:space="preserve">Emissions are categorized and calculated according to GHG Protocol standards.</w:t>
      </w:r>
    </w:p>
    <w:p>
      <w:pPr>
        <w:numPr>
          <w:ilvl w:val="0"/>
          <w:numId w:val="1006"/>
        </w:numPr>
        <w:pStyle w:val="Compact"/>
      </w:pPr>
      <w:r>
        <w:rPr>
          <w:bCs/>
          <w:b/>
        </w:rPr>
        <w:t xml:space="preserve">GHG Protocol Adherence:</w:t>
      </w:r>
      <w:r>
        <w:t xml:space="preserve"> </w:t>
      </w:r>
      <w:r>
        <w:t xml:space="preserve">Emissions are categorized into Scope 1 (direct), Scope 2 (purchased energy), and Scope 3 (value chain). Due to the nature of product PCF, direct Scope 1 emissions at the manufacturing site (e.g., fuel combustion in company-owned vehicles/facilities) are assumed negligible or covered by upstream/downstream Scope 3, focusing on product-specific impacts.</w:t>
      </w:r>
    </w:p>
    <w:p>
      <w:pPr>
        <w:numPr>
          <w:ilvl w:val="0"/>
          <w:numId w:val="1006"/>
        </w:numPr>
        <w:pStyle w:val="Compact"/>
      </w:pPr>
      <w:r>
        <w:rPr>
          <w:bCs/>
          <w:b/>
        </w:rPr>
        <w:t xml:space="preserve">2026 LSR Update:</w:t>
      </w:r>
      <w:r>
        <w:t xml:space="preserve"> </w:t>
      </w:r>
      <w:r>
        <w:t xml:space="preserve">The Land Sector and Removals (LSR) Standard is acknowledged. While \'spxjprfklm\' does not directly involve land-use change, carbon removals through recycling are implicitly accounted for as avoided emissions, aligning with the LSR\'s broader principle of considering removals.</w:t>
      </w:r>
    </w:p>
    <w:p>
      <w:pPr>
        <w:numPr>
          <w:ilvl w:val="0"/>
          <w:numId w:val="1006"/>
        </w:numPr>
        <w:pStyle w:val="Compact"/>
      </w:pPr>
      <w:r>
        <w:rPr>
          <w:bCs/>
          <w:b/>
        </w:rPr>
        <w:t xml:space="preserve">Scope 3 Compliance:</w:t>
      </w:r>
      <w:r>
        <w:t xml:space="preserve"> </w:t>
      </w:r>
      <w:r>
        <w:t xml:space="preserve">All significant upstream (material extraction, primary transport) and downstream (last-mile delivery, use phase, end-of-life) activities are included, ensuring well over 95% coverage for Scope 3 reporting as per 2026 requirements.</w:t>
      </w:r>
    </w:p>
    <w:p>
      <w:r>
        <w:pict>
          <v:rect style="width:0;height:1.5pt" o:hralign="center" o:hrstd="t" o:hr="t"/>
        </w:pict>
      </w:r>
    </w:p>
    <w:bookmarkEnd w:id="30"/>
    <w:bookmarkEnd w:id="31"/>
    <w:bookmarkStart w:id="40" w:name="X9bcb9633f647f246420b3cfc502d3942051c73e"/>
    <w:p>
      <w:pPr>
        <w:pStyle w:val="Heading2"/>
      </w:pPr>
      <w:r>
        <w:t xml:space="preserve">3. Product Carbon Footprint Analysis (spxjprfklm)</w:t>
      </w:r>
    </w:p>
    <w:bookmarkStart w:id="38" w:name="Xc41fe5ba15742906db64be9a84bcae7c023191c"/>
    <w:p>
      <w:pPr>
        <w:pStyle w:val="Heading3"/>
      </w:pPr>
      <w:r>
        <w:t xml:space="preserve">3.1. Detailed Emission Breakdown by Lifecycle Stage</w:t>
      </w:r>
    </w:p>
    <w:bookmarkStart w:id="32" w:name="X5ef8adcda1f4e283b5e14613757ba4aa94e0247"/>
    <w:p>
      <w:pPr>
        <w:pStyle w:val="Heading4"/>
      </w:pPr>
      <w:r>
        <w:t xml:space="preserve">Scope 3 - Upstream: Materials Acquisition &amp; Pre-processing</w:t>
      </w:r>
    </w:p>
    <w:p>
      <w:pPr>
        <w:numPr>
          <w:ilvl w:val="0"/>
          <w:numId w:val="1007"/>
        </w:numPr>
        <w:pStyle w:val="Compact"/>
      </w:pPr>
      <w:r>
        <w:t xml:space="preserve">Total emissions from detailed BOM: 27.5 kg CO2e</w:t>
      </w:r>
    </w:p>
    <w:bookmarkEnd w:id="32"/>
    <w:bookmarkStart w:id="33" w:name="scope-2-manufacturing-energy"/>
    <w:p>
      <w:pPr>
        <w:pStyle w:val="Heading4"/>
      </w:pPr>
      <w:r>
        <w:t xml:space="preserve">Scope 2: Manufacturing Energy</w:t>
      </w:r>
    </w:p>
    <w:p>
      <w:pPr>
        <w:numPr>
          <w:ilvl w:val="0"/>
          <w:numId w:val="1008"/>
        </w:numPr>
        <w:pStyle w:val="Compact"/>
      </w:pPr>
      <w:r>
        <w:t xml:space="preserve">Total Energy Consumption: 0.5 kWh/unit</w:t>
      </w:r>
    </w:p>
    <w:p>
      <w:pPr>
        <w:numPr>
          <w:ilvl w:val="0"/>
          <w:numId w:val="1008"/>
        </w:numPr>
        <w:pStyle w:val="Compact"/>
      </w:pPr>
      <w:r>
        <w:t xml:space="preserve">Non-renewable Energy: 0.5 kWh * 70% = 0.35 kWh</w:t>
      </w:r>
    </w:p>
    <w:p>
      <w:pPr>
        <w:numPr>
          <w:ilvl w:val="0"/>
          <w:numId w:val="1008"/>
        </w:numPr>
        <w:pStyle w:val="Compact"/>
      </w:pPr>
      <w:r>
        <w:t xml:space="preserve">Renewable Energy: 0.5 kWh * 30% = 0.15 kWh</w:t>
      </w:r>
    </w:p>
    <w:p>
      <w:pPr>
        <w:numPr>
          <w:ilvl w:val="0"/>
          <w:numId w:val="1008"/>
        </w:numPr>
        <w:pStyle w:val="Compact"/>
      </w:pPr>
      <w:r>
        <w:t xml:space="preserve">Emissions from Non-renewable Electricity: 0.35 kWh * 0.556 kg CO2e/kWh = 0.19 kg CO2e</w:t>
      </w:r>
    </w:p>
    <w:p>
      <w:pPr>
        <w:numPr>
          <w:ilvl w:val="0"/>
          <w:numId w:val="1008"/>
        </w:numPr>
        <w:pStyle w:val="Compact"/>
      </w:pPr>
      <w:r>
        <w:t xml:space="preserve">Emissions from Renewable Electricity: 0 kg CO2e (assuming certified renewable sources)</w:t>
      </w:r>
    </w:p>
    <w:p>
      <w:pPr>
        <w:numPr>
          <w:ilvl w:val="0"/>
          <w:numId w:val="1008"/>
        </w:numPr>
        <w:pStyle w:val="Compact"/>
      </w:pPr>
      <w:r>
        <w:rPr>
          <w:bCs/>
          <w:b/>
        </w:rPr>
        <w:t xml:space="preserve">Total Manufacturing Energy Emissions: 0.19 kg CO2e</w:t>
      </w:r>
    </w:p>
    <w:bookmarkEnd w:id="33"/>
    <w:bookmarkStart w:id="34" w:name="X66428a74d6b3af8a145fb37b5a80e8fce0ebc15"/>
    <w:p>
      <w:pPr>
        <w:pStyle w:val="Heading4"/>
      </w:pPr>
      <w:r>
        <w:t xml:space="preserve">Scope 3 - Upstream: Primary Transport (Supply Chain)</w:t>
      </w:r>
    </w:p>
    <w:p>
      <w:pPr>
        <w:numPr>
          <w:ilvl w:val="0"/>
          <w:numId w:val="1009"/>
        </w:numPr>
        <w:pStyle w:val="Compact"/>
      </w:pPr>
      <w:r>
        <w:t xml:space="preserve">Product Mass: 0.015 tonnes</w:t>
      </w:r>
    </w:p>
    <w:p>
      <w:pPr>
        <w:numPr>
          <w:ilvl w:val="0"/>
          <w:numId w:val="1009"/>
        </w:numPr>
        <w:pStyle w:val="Compact"/>
      </w:pPr>
      <w:r>
        <w:t xml:space="preserve">Transport Distance: 1500 km</w:t>
      </w:r>
    </w:p>
    <w:p>
      <w:pPr>
        <w:numPr>
          <w:ilvl w:val="0"/>
          <w:numId w:val="1009"/>
        </w:numPr>
        <w:pStyle w:val="Compact"/>
      </w:pPr>
      <w:r>
        <w:t xml:space="preserve">Emissions: 0.015 tonnes * 1500 km * 0.092 kg CO2e/tonne-km = 2.07 kg CO2e</w:t>
      </w:r>
    </w:p>
    <w:bookmarkEnd w:id="34"/>
    <w:bookmarkStart w:id="35" w:name="scope-3---downstream-last-mile-delivery"/>
    <w:p>
      <w:pPr>
        <w:pStyle w:val="Heading4"/>
      </w:pPr>
      <w:r>
        <w:t xml:space="preserve">Scope 3 - Downstream: Last-Mile Delivery</w:t>
      </w:r>
    </w:p>
    <w:p>
      <w:pPr>
        <w:numPr>
          <w:ilvl w:val="0"/>
          <w:numId w:val="1010"/>
        </w:numPr>
        <w:pStyle w:val="Compact"/>
      </w:pPr>
      <w:r>
        <w:t xml:space="preserve">Product Mass: 0.015 tonnes</w:t>
      </w:r>
    </w:p>
    <w:p>
      <w:pPr>
        <w:numPr>
          <w:ilvl w:val="0"/>
          <w:numId w:val="1010"/>
        </w:numPr>
        <w:pStyle w:val="Compact"/>
      </w:pPr>
      <w:r>
        <w:t xml:space="preserve">Assumed Delivery Distance: 100 km</w:t>
      </w:r>
    </w:p>
    <w:p>
      <w:pPr>
        <w:numPr>
          <w:ilvl w:val="0"/>
          <w:numId w:val="1010"/>
        </w:numPr>
        <w:pStyle w:val="Compact"/>
      </w:pPr>
      <w:r>
        <w:t xml:space="preserve">Emissions: 0.015 tonnes * 100 km * 0.20 kg CO2e/tonne-km = 0.30 kg CO2e</w:t>
      </w:r>
    </w:p>
    <w:bookmarkEnd w:id="35"/>
    <w:bookmarkStart w:id="36" w:name="scope-3---downstream-use-phase"/>
    <w:p>
      <w:pPr>
        <w:pStyle w:val="Heading4"/>
      </w:pPr>
      <w:r>
        <w:t xml:space="preserve">Scope 3 - Downstream: Use Phase</w:t>
      </w:r>
    </w:p>
    <w:p>
      <w:pPr>
        <w:numPr>
          <w:ilvl w:val="0"/>
          <w:numId w:val="1011"/>
        </w:numPr>
        <w:pStyle w:val="Compact"/>
      </w:pPr>
      <w:r>
        <w:t xml:space="preserve">Product Lifespan: 5 years</w:t>
      </w:r>
    </w:p>
    <w:p>
      <w:pPr>
        <w:numPr>
          <w:ilvl w:val="0"/>
          <w:numId w:val="1011"/>
        </w:numPr>
        <w:pStyle w:val="Compact"/>
      </w:pPr>
      <w:r>
        <w:t xml:space="preserve">Annual Energy Consumption: 10 kWh/year</w:t>
      </w:r>
    </w:p>
    <w:p>
      <w:pPr>
        <w:numPr>
          <w:ilvl w:val="0"/>
          <w:numId w:val="1011"/>
        </w:numPr>
        <w:pStyle w:val="Compact"/>
      </w:pPr>
      <w:r>
        <w:t xml:space="preserve">Total Energy Consumption: 50 kWh</w:t>
      </w:r>
    </w:p>
    <w:p>
      <w:pPr>
        <w:numPr>
          <w:ilvl w:val="0"/>
          <w:numId w:val="1011"/>
        </w:numPr>
        <w:pStyle w:val="Compact"/>
      </w:pPr>
      <w:r>
        <w:t xml:space="preserve">Emissions: 50 kWh * 0.556 kg CO2e/kWh = 27.80 kg CO2e</w:t>
      </w:r>
    </w:p>
    <w:bookmarkEnd w:id="36"/>
    <w:bookmarkStart w:id="37" w:name="scope-3---downstream-end-of-life-eol"/>
    <w:p>
      <w:pPr>
        <w:pStyle w:val="Heading4"/>
      </w:pPr>
      <w:r>
        <w:t xml:space="preserve">Scope 3 - Downstream: End-of-Life (EoL)</w:t>
      </w:r>
    </w:p>
    <w:p>
      <w:pPr>
        <w:numPr>
          <w:ilvl w:val="0"/>
          <w:numId w:val="1012"/>
        </w:numPr>
        <w:pStyle w:val="Compact"/>
      </w:pPr>
      <w:r>
        <w:t xml:space="preserve">Total Product Mass: 15 kg</w:t>
      </w:r>
    </w:p>
    <w:p>
      <w:pPr>
        <w:numPr>
          <w:ilvl w:val="0"/>
          <w:numId w:val="1012"/>
        </w:numPr>
        <w:pStyle w:val="Compact"/>
      </w:pPr>
      <w:r>
        <w:t xml:space="preserve">Recycled Portion: 15 kg * 80% = 12 kg</w:t>
      </w:r>
    </w:p>
    <w:p>
      <w:pPr>
        <w:numPr>
          <w:ilvl w:val="0"/>
          <w:numId w:val="1012"/>
        </w:numPr>
        <w:pStyle w:val="Compact"/>
      </w:pPr>
      <w:r>
        <w:t xml:space="preserve">Disposed Portion: 15 kg * 20% = 3 kg</w:t>
      </w:r>
    </w:p>
    <w:p>
      <w:pPr>
        <w:numPr>
          <w:ilvl w:val="0"/>
          <w:numId w:val="1012"/>
        </w:numPr>
        <w:pStyle w:val="Compact"/>
      </w:pPr>
      <w:r>
        <w:t xml:space="preserve">Original Material Emissions (for recyclable part): 27.5 kg CO2e * 80% = 22.0 kg CO2e</w:t>
      </w:r>
    </w:p>
    <w:p>
      <w:pPr>
        <w:numPr>
          <w:ilvl w:val="0"/>
          <w:numId w:val="1012"/>
        </w:numPr>
        <w:pStyle w:val="Compact"/>
      </w:pPr>
      <w:r>
        <w:t xml:space="preserve">Recycling Credit (avoided emissions): 22.0 kg CO2e * 70% = -15.40 kg CO2e</w:t>
      </w:r>
    </w:p>
    <w:p>
      <w:pPr>
        <w:numPr>
          <w:ilvl w:val="0"/>
          <w:numId w:val="1012"/>
        </w:numPr>
        <w:pStyle w:val="Compact"/>
      </w:pPr>
      <w:r>
        <w:t xml:space="preserve">Disposal Emissions: 3 kg * 0.1 kg CO2e/kg = 0.30 kg CO2e</w:t>
      </w:r>
    </w:p>
    <w:p>
      <w:pPr>
        <w:numPr>
          <w:ilvl w:val="0"/>
          <w:numId w:val="1012"/>
        </w:numPr>
        <w:pStyle w:val="Compact"/>
      </w:pPr>
      <w:r>
        <w:rPr>
          <w:bCs/>
          <w:b/>
        </w:rPr>
        <w:t xml:space="preserve">Total EoL Emissions: -15.40 + 0.30 = -15.10 kg CO2e</w:t>
      </w:r>
    </w:p>
    <w:bookmarkEnd w:id="37"/>
    <w:bookmarkEnd w:id="38"/>
    <w:bookmarkStart w:id="39" w:name="summary-of-product-carbon-footprint-pcf"/>
    <w:p>
      <w:pPr>
        <w:pStyle w:val="Heading3"/>
      </w:pPr>
      <w:r>
        <w:t xml:space="preserve">3.2. Summary of Product Carbon Footprint (PCF)</w:t>
      </w:r>
    </w:p>
    <w:p>
      <w:pPr>
        <w:pStyle w:val="FirstParagraph"/>
      </w:pPr>
      <w:r>
        <w:t xml:space="preserve">The total Product Carbon Footprint for one functional unit of \'spxjprfklm\'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27.50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0.19</w:t>
            </w:r>
          </w:p>
        </w:tc>
      </w:tr>
      <w:tr>
        <w:tc>
          <w:tcPr/>
          <w:p>
            <w:pPr>
              <w:pStyle w:val="Compact"/>
              <w:jc w:val="left"/>
            </w:pPr>
            <w:r>
              <w:t xml:space="preserve">Primary Transport (Upstream)</w:t>
            </w:r>
          </w:p>
        </w:tc>
        <w:tc>
          <w:tcPr/>
          <w:p>
            <w:pPr>
              <w:pStyle w:val="Compact"/>
              <w:jc w:val="left"/>
            </w:pPr>
            <w:r>
              <w:t xml:space="preserve">Scope 3 (Upstream)</w:t>
            </w:r>
          </w:p>
        </w:tc>
        <w:tc>
          <w:tcPr/>
          <w:p>
            <w:pPr>
              <w:pStyle w:val="Compact"/>
              <w:jc w:val="left"/>
            </w:pPr>
            <w:r>
              <w:t xml:space="preserve">2.07</w:t>
            </w:r>
          </w:p>
        </w:tc>
      </w:tr>
      <w:tr>
        <w:tc>
          <w:tcPr/>
          <w:p>
            <w:pPr>
              <w:pStyle w:val="Compact"/>
              <w:jc w:val="left"/>
            </w:pPr>
            <w:r>
              <w:t xml:space="preserve">Last-Mile Delivery (Downstream)</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27.80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-15.10</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42.76</w:t>
            </w:r>
          </w:p>
        </w:tc>
      </w:tr>
    </w:tbl>
    <w:p>
      <w:r>
        <w:pict>
          <v:rect style="width:0;height:1.5pt" o:hralign="center" o:hrstd="t" o:hr="t"/>
        </w:pict>
      </w:r>
    </w:p>
    <w:bookmarkEnd w:id="39"/>
    <w:bookmarkEnd w:id="40"/>
    <w:bookmarkStart w:id="44" w:name="review-reporting"/>
    <w:p>
      <w:pPr>
        <w:pStyle w:val="Heading2"/>
      </w:pPr>
      <w:r>
        <w:t xml:space="preserve">4. Review &amp; Reporting</w:t>
      </w:r>
    </w:p>
    <w:bookmarkStart w:id="41" w:name="hotspot-identification"/>
    <w:p>
      <w:pPr>
        <w:pStyle w:val="Heading3"/>
      </w:pPr>
      <w:r>
        <w:t xml:space="preserve">4.1. Hotspot Identification</w:t>
      </w:r>
    </w:p>
    <w:p>
      <w:pPr>
        <w:pStyle w:val="FirstParagraph"/>
      </w:pPr>
      <w:r>
        <w:t xml:space="preserve">The primary hotspots for the \'spxjprfklm\' PCF are:</w:t>
      </w:r>
    </w:p>
    <w:p>
      <w:pPr>
        <w:numPr>
          <w:ilvl w:val="0"/>
          <w:numId w:val="1013"/>
        </w:numPr>
        <w:pStyle w:val="Compact"/>
      </w:pPr>
      <w:r>
        <w:rPr>
          <w:bCs/>
          <w:b/>
        </w:rPr>
        <w:t xml:space="preserve">Use Phase (27.80 kg CO2e):</w:t>
      </w:r>
      <w:r>
        <w:t xml:space="preserve"> </w:t>
      </w:r>
      <w:r>
        <w:t xml:space="preserve">This stage represents the largest contributor to the product\'s footprint, primarily due to the energy consumption over its 5-year lifespan. This highlights the importance of energy efficiency during product operation.</w:t>
      </w:r>
    </w:p>
    <w:p>
      <w:pPr>
        <w:numPr>
          <w:ilvl w:val="0"/>
          <w:numId w:val="1013"/>
        </w:numPr>
        <w:pStyle w:val="Compact"/>
      </w:pPr>
      <w:r>
        <w:rPr>
          <w:bCs/>
          <w:b/>
        </w:rPr>
        <w:t xml:space="preserve">Materials Acquisition &amp; Pre-processing (27.50 kg CO2e):</w:t>
      </w:r>
      <w:r>
        <w:t xml:space="preserve"> </w:t>
      </w:r>
      <w:r>
        <w:t xml:space="preserve">The production of raw materials (Steel and Plastic) accounts for a significant portion of emissions, underscoring the impact of upstream supply chain activities.</w:t>
      </w:r>
    </w:p>
    <w:p>
      <w:pPr>
        <w:numPr>
          <w:ilvl w:val="0"/>
          <w:numId w:val="1013"/>
        </w:numPr>
        <w:pStyle w:val="Compact"/>
      </w:pPr>
      <w:r>
        <w:rPr>
          <w:bCs/>
          <w:b/>
        </w:rPr>
        <w:t xml:space="preserve">End-of-Life (-15.10 kg CO2e):</w:t>
      </w:r>
      <w:r>
        <w:t xml:space="preserve"> </w:t>
      </w:r>
      <w:r>
        <w:t xml:space="preserve">The robust recyclability and active take-back programs provide a substantial credit, significantly reducing the overall PCF. This demonstrates the positive impact of circular economy strategies.</w:t>
      </w:r>
    </w:p>
    <w:bookmarkEnd w:id="41"/>
    <w:bookmarkStart w:id="42" w:name="reliability-and-assumptions"/>
    <w:p>
      <w:pPr>
        <w:pStyle w:val="Heading3"/>
      </w:pPr>
      <w:r>
        <w:t xml:space="preserve">4.2. Reliability and Assumptions</w:t>
      </w:r>
    </w:p>
    <w:p>
      <w:pPr>
        <w:pStyle w:val="FirstParagraph"/>
      </w:pPr>
      <w:r>
        <w:t xml:space="preserve">The reliability of this PCF analysis is contingent on the accuracy of the provided primary data and the chosen secondary emission factors.</w:t>
      </w:r>
    </w:p>
    <w:p>
      <w:pPr>
        <w:numPr>
          <w:ilvl w:val="0"/>
          <w:numId w:val="1014"/>
        </w:numPr>
        <w:pStyle w:val="Compact"/>
      </w:pPr>
      <w:r>
        <w:rPr>
          <w:bCs/>
          <w:b/>
        </w:rPr>
        <w:t xml:space="preserve">Primary Data:</w:t>
      </w:r>
      <w:r>
        <w:t xml:space="preserve"> </w:t>
      </w:r>
      <w:r>
        <w:t xml:space="preserve">The Detailed Bill of Materials (BOM) was used directly for material emissions, offering high accuracy for this component.</w:t>
      </w:r>
    </w:p>
    <w:p>
      <w:pPr>
        <w:numPr>
          <w:ilvl w:val="0"/>
          <w:numId w:val="1014"/>
        </w:numPr>
        <w:pStyle w:val="Compact"/>
      </w:pPr>
      <w:r>
        <w:rPr>
          <w:bCs/>
          <w:b/>
        </w:rPr>
        <w:t xml:space="preserve">Secondary Data &amp; Emission Factors:</w:t>
      </w:r>
      <w:r>
        <w:t xml:space="preserve"> </w:t>
      </w:r>
      <w:r>
        <w:t xml:space="preserve">Industry-standard emission factors from reputable sources (e.g., Climatiq based on Climate Transparency Report and GLEC Framework) have been applied for electricity and transport.</w:t>
      </w:r>
    </w:p>
    <w:p>
      <w:pPr>
        <w:numPr>
          <w:ilvl w:val="0"/>
          <w:numId w:val="1014"/>
        </w:numPr>
        <w:pStyle w:val="Compact"/>
      </w:pPr>
      <w:r>
        <w:rPr>
          <w:bCs/>
          <w:b/>
        </w:rPr>
        <w:t xml:space="preserve">Assumptions:</w:t>
      </w:r>
      <w:r>
        <w:t xml:space="preserve"> </w:t>
      </w:r>
      <w:r>
        <w:t xml:space="preserve">Specific assumptions were made for placeholder parameters such as \'Select Mode\' (assumed as HGV Road Freight) and \'Delivery Type\' (assumed as LCV Road Freight for 100 km), and a general emission factor for waste disposal. The recycling credit percentage is an industry-average estimation. These assumptions introduce a degree of uncertainty, though they are based on common practices in PCF analysis.</w:t>
      </w:r>
    </w:p>
    <w:p>
      <w:pPr>
        <w:numPr>
          <w:ilvl w:val="0"/>
          <w:numId w:val="1014"/>
        </w:numPr>
        <w:pStyle w:val="Compact"/>
      </w:pPr>
      <w:r>
        <w:rPr>
          <w:bCs/>
          <w:b/>
        </w:rPr>
        <w:t xml:space="preserve">System Boundary Interpretation:</w:t>
      </w:r>
      <w:r>
        <w:t xml:space="preserve"> </w:t>
      </w:r>
      <w:r>
        <w:t xml:space="preserve">While the parameter `System Boundary: factory_gate` was provided, the analysis was expanded to a cradle-to-grave scope as indicated by the detailed requirements for use phase and end-of-life calculations. This provides a more comprehensive view of the product\'s lifecycle impact.</w:t>
      </w:r>
    </w:p>
    <w:bookmarkEnd w:id="42"/>
    <w:bookmarkStart w:id="43" w:name="recommendations-for-emission-reduction"/>
    <w:p>
      <w:pPr>
        <w:pStyle w:val="Heading3"/>
      </w:pPr>
      <w:r>
        <w:t xml:space="preserve">4.3. Recommendations for Emission Reduction</w:t>
      </w:r>
    </w:p>
    <w:p>
      <w:pPr>
        <w:pStyle w:val="FirstParagraph"/>
      </w:pPr>
      <w:r>
        <w:t xml:space="preserve">Based on this analysis, \'wrkmylmsqj\' should consider the following to further reduce the PCF of \'spxjprfklm\':</w:t>
      </w:r>
    </w:p>
    <w:p>
      <w:pPr>
        <w:numPr>
          <w:ilvl w:val="0"/>
          <w:numId w:val="1015"/>
        </w:numPr>
        <w:pStyle w:val="Compact"/>
      </w:pPr>
      <w:r>
        <w:rPr>
          <w:bCs/>
          <w:b/>
        </w:rPr>
        <w:t xml:space="preserve">Enhance Use Phase Efficiency:</w:t>
      </w:r>
      <w:r>
        <w:t xml:space="preserve"> </w:t>
      </w:r>
      <w:r>
        <w:t xml:space="preserve">Invest in R&amp;D to significantly reduce the product\'s energy consumption during its use phase, as this is the largest emissions hotspot.</w:t>
      </w:r>
    </w:p>
    <w:p>
      <w:pPr>
        <w:numPr>
          <w:ilvl w:val="0"/>
          <w:numId w:val="1015"/>
        </w:numPr>
        <w:pStyle w:val="Compact"/>
      </w:pPr>
      <w:r>
        <w:rPr>
          <w:bCs/>
          <w:b/>
        </w:rPr>
        <w:t xml:space="preserve">Sustainable Material Sourcing:</w:t>
      </w:r>
      <w:r>
        <w:t xml:space="preserve"> </w:t>
      </w:r>
      <w:r>
        <w:t xml:space="preserve">Explore opportunities to source lower-carbon intensity materials, including increasing the recycled content of steel and plastic components, where not already accounted for in the BOM.</w:t>
      </w:r>
    </w:p>
    <w:p>
      <w:pPr>
        <w:numPr>
          <w:ilvl w:val="0"/>
          <w:numId w:val="1015"/>
        </w:numPr>
        <w:pStyle w:val="Compact"/>
      </w:pPr>
      <w:r>
        <w:rPr>
          <w:bCs/>
          <w:b/>
        </w:rPr>
        <w:t xml:space="preserve">Optimize Logistics:</w:t>
      </w:r>
      <w:r>
        <w:t xml:space="preserve"> </w:t>
      </w:r>
      <w:r>
        <w:t xml:space="preserve">Investigate more efficient transport modes (e.g., rail or sea freight where feasible for long distances) or optimize load factors to reduce transport emissions.</w:t>
      </w:r>
    </w:p>
    <w:p>
      <w:pPr>
        <w:numPr>
          <w:ilvl w:val="0"/>
          <w:numId w:val="1015"/>
        </w:numPr>
        <w:pStyle w:val="Compact"/>
      </w:pPr>
      <w:r>
        <w:rPr>
          <w:bCs/>
          <w:b/>
        </w:rPr>
        <w:t xml:space="preserve">Expand Circularity:</w:t>
      </w:r>
      <w:r>
        <w:t xml:space="preserve"> </w:t>
      </w:r>
      <w:r>
        <w:t xml:space="preserve">Continue to invest in and promote take-back and recycling programs, potentially aiming for higher recyclability percentages or closed-loop recycling systems for key materials.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spxjprfklm</dc:title>
  <dc:creator/>
  <dc:description>Detailed Product Carbon Footprint (PCF) analysis report for product spxjprfklm by wrkmylmsqj, adhering to GHG Protocol standards and 2026 LSR updates.</dc:description>
  <dc:language>en</dc:language>
  <cp:keywords/>
  <dcterms:created xsi:type="dcterms:W3CDTF">2026-07-15T02:13:05Z</dcterms:created>
  <dcterms:modified xsi:type="dcterms:W3CDTF">2026-07-15T02:13:05Z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