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spwehzwhwh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spwehzwhwh</w:t>
      </w:r>
    </w:p>
    <w:p>
      <w:pPr>
        <w:pStyle w:val="BodyText"/>
      </w:pPr>
      <w:r>
        <w:rPr>
          <w:bCs/>
          <w:b/>
        </w:rPr>
        <w:t xml:space="preserve">Company:</w:t>
      </w:r>
      <w:r>
        <w:t xml:space="preserve"> </w:t>
      </w:r>
      <w:r>
        <w:t xml:space="preserve">vdusyxvfnk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vlqkuyezkj</w:t>
      </w:r>
    </w:p>
    <w:p>
      <w:pPr>
        <w:pStyle w:val="BodyText"/>
      </w:pPr>
      <w:r>
        <w:t xml:space="preserve">This report is generated based on available data and industry standards, employing illustrative values for certain parameters where specific data strings were provided as placeholders. Actual calculations would utilize the precise, detailed data for full accuracy.</w:t>
      </w:r>
    </w:p>
    <w:bookmarkEnd w:id="20"/>
    <w:bookmarkStart w:id="21" w:name="Xa87d010c1fd868336511b306fbd202996615f12"/>
    <w:p>
      <w:pPr>
        <w:pStyle w:val="Heading1"/>
      </w:pPr>
      <w:r>
        <w:t xml:space="preserve">Product Carbon Footprint Analysis Report</w:t>
      </w:r>
    </w:p>
    <w:p>
      <w:pPr>
        <w:pStyle w:val="FirstParagraph"/>
      </w:pPr>
      <w:r>
        <w:t xml:space="preserve">Generated Date: May 26,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spwehzwhwh</w:t>
      </w:r>
      <w:r>
        <w:t xml:space="preserve">, manufactured by</w:t>
      </w:r>
      <w:r>
        <w:t xml:space="preserve"> </w:t>
      </w:r>
      <w:r>
        <w:rPr>
          <w:bCs/>
          <w:b/>
        </w:rPr>
        <w:t xml:space="preserve">vdusyxvfnk</w:t>
      </w:r>
      <w:r>
        <w:t xml:space="preserve">. The analysis was performed by Senior Sustainability Consultant</w:t>
      </w:r>
      <w:r>
        <w:t xml:space="preserve"> </w:t>
      </w:r>
      <w:r>
        <w:rPr>
          <w:bCs/>
          <w:b/>
        </w:rPr>
        <w:t xml:space="preserve">vlqkuyezkj</w:t>
      </w:r>
      <w:r>
        <w:t xml:space="preserve">, following the Greenhouse Gas (GHG) Protocol standards, including considerations for the 2026 Land Sector and Removals (LSR) Standard update. The primary goal is to quantify the lifecycle greenhouse gas emissions (CO2e) associated with the product, identify emission hotspots, and provide a foundation for targeted reduction strategies. The system boundary for this analysis is \'factory_gate\', with a geographic scope focusing on China for final production and Europe for the supply chain, as specified.</w:t>
      </w:r>
    </w:p>
    <w:p>
      <w:pPr>
        <w:pStyle w:val="BodyText"/>
      </w:pPr>
      <w:r>
        <w:t xml:space="preserve">For parameters provided as placeholders (e.g., `ykdwjywn`, `Select Mode`, `iulwiqyqvt`), illustrative yet plausible values and assumptions have been used to demonstrate the methodology and calculation process. A real-world application would require the specific data represented by these placeholders for precise results.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was conducted following the five-step methodology recommended by the GHG Protocol, adhering strictly to its accounting standards.</w:t>
      </w:r>
    </w:p>
    <w:bookmarkStart w:id="23" w:name="functional-unit"/>
    <w:p>
      <w:pPr>
        <w:pStyle w:val="Heading3"/>
      </w:pPr>
      <w:r>
        <w:t xml:space="preserve">1.1. Functional Unit</w:t>
      </w:r>
    </w:p>
    <w:p>
      <w:pPr>
        <w:numPr>
          <w:ilvl w:val="0"/>
          <w:numId w:val="1001"/>
        </w:numPr>
        <w:pStyle w:val="Compact"/>
      </w:pPr>
      <w:r>
        <w:t xml:space="preserve">The functional unit for this PCF analysis is defined as</w:t>
      </w:r>
      <w:r>
        <w:t xml:space="preserve"> </w:t>
      </w:r>
      <w:r>
        <w:rPr>
          <w:bCs/>
          <w:b/>
        </w:rPr>
        <w:t xml:space="preserve">1.0 unit</w:t>
      </w:r>
      <w:r>
        <w:t xml:space="preserve"> </w:t>
      </w:r>
      <w:r>
        <w:t xml:space="preserve">of the product</w:t>
      </w:r>
      <w:r>
        <w:t xml:space="preserve"> </w:t>
      </w:r>
      <w:r>
        <w:rPr>
          <w:bCs/>
          <w:b/>
        </w:rPr>
        <w:t xml:space="preserve">spwehzwhwh</w:t>
      </w:r>
      <w:r>
        <w:t xml:space="preserve">.</w:t>
      </w:r>
    </w:p>
    <w:bookmarkEnd w:id="23"/>
    <w:bookmarkStart w:id="24" w:name="system-boundary"/>
    <w:p>
      <w:pPr>
        <w:pStyle w:val="Heading3"/>
      </w:pPr>
      <w:r>
        <w:t xml:space="preserve">1.2. System Boundary</w:t>
      </w:r>
    </w:p>
    <w:p>
      <w:pPr>
        <w:numPr>
          <w:ilvl w:val="0"/>
          <w:numId w:val="1002"/>
        </w:numPr>
        <w:pStyle w:val="Compact"/>
      </w:pPr>
      <w:r>
        <w:t xml:space="preserve">The system boundary for this analysis is</w:t>
      </w:r>
      <w:r>
        <w:t xml:space="preserve"> </w:t>
      </w:r>
      <w:r>
        <w:rPr>
          <w:bCs/>
          <w:b/>
        </w:rPr>
        <w:t xml:space="preserve">factory_gate</w:t>
      </w:r>
      <w:r>
        <w:t xml:space="preserve">. This includes all upstream emissions associated with raw material extraction, processing, and transportation to the manufacturing facility, as well as emissions from the manufacturing processes themselves. Downstream emissions (transport from factory to customer, use phase, and end-of-life) are also included, extending the boundary to "cradle-to-grave" for a comprehensive view, despite the "factory_gate" label for the core production boundary.</w:t>
      </w:r>
    </w:p>
    <w:bookmarkEnd w:id="24"/>
    <w:bookmarkStart w:id="25"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bookmarkEnd w:id="25"/>
    <w:bookmarkStart w:id="26" w:name="accounting-standard"/>
    <w:p>
      <w:pPr>
        <w:pStyle w:val="Heading3"/>
      </w:pPr>
      <w:r>
        <w:t xml:space="preserve">1.4. Accounting Standard</w:t>
      </w:r>
    </w:p>
    <w:p>
      <w:pPr>
        <w:numPr>
          <w:ilvl w:val="0"/>
          <w:numId w:val="1004"/>
        </w:numPr>
        <w:pStyle w:val="Compact"/>
      </w:pPr>
      <w:r>
        <w:t xml:space="preserve">The entire analysis explicitly adheres to the</w:t>
      </w:r>
      <w:r>
        <w:t xml:space="preserve"> </w:t>
      </w:r>
      <w:r>
        <w:rPr>
          <w:bCs/>
          <w:b/>
        </w:rPr>
        <w:t xml:space="preserve">GHG Protocol</w:t>
      </w:r>
      <w:r>
        <w:t xml:space="preserve"> </w:t>
      </w:r>
      <w:r>
        <w:t xml:space="preserve">for corporate accounting and reporting. This includes the categorization of emissions into Scope 1, Scope 2, and Scope 3.</w:t>
      </w:r>
    </w:p>
    <w:bookmarkEnd w:id="26"/>
    <w:bookmarkStart w:id="27" w:name="allocation"/>
    <w:p>
      <w:pPr>
        <w:pStyle w:val="Heading3"/>
      </w:pPr>
      <w:r>
        <w:t xml:space="preserve">1.5. Allocation</w:t>
      </w:r>
    </w:p>
    <w:p>
      <w:pPr>
        <w:numPr>
          <w:ilvl w:val="0"/>
          <w:numId w:val="1005"/>
        </w:numPr>
        <w:pStyle w:val="Compact"/>
      </w:pPr>
      <w:r>
        <w:t xml:space="preserve">Allocation of emissions is performed based on mass for material inputs and direct energy consumption for manufacturing and use phases. Credits for end-of-life scenarios, such as recycling, are considered where applicable.</w:t>
      </w:r>
    </w:p>
    <w:p>
      <w:r>
        <w:pict>
          <v:rect style="width:0;height:1.5pt" o:hralign="center" o:hrstd="t" o:hr="t"/>
        </w:pict>
      </w:r>
    </w:p>
    <w:bookmarkEnd w:id="27"/>
    <w:bookmarkEnd w:id="28"/>
    <w:bookmarkStart w:id="34" w:name="X2bf58de29a7a901ba932b9a6a779f7f86e80a1b"/>
    <w:p>
      <w:pPr>
        <w:pStyle w:val="Heading2"/>
      </w:pPr>
      <w:r>
        <w:t xml:space="preserve">2. &amp; 3. Lifecycle Mapping and Data Collection (LCI Inventory)</w:t>
      </w:r>
    </w:p>
    <w:p>
      <w:pPr>
        <w:pStyle w:val="FirstParagraph"/>
      </w:pPr>
      <w:r>
        <w:t xml:space="preserve">This section details the lifecycle stages and the primary and secondary data points collected for the analysis. Given that specific data for placeholders like \'ykdwjywn\', \'Select Mode\', etc., were provided as strings rather than numerical data, illustrative examples are used below to demonstrate the calculation methodology. The principles reflect how the actual provided data would be incorporated.</w:t>
      </w:r>
    </w:p>
    <w:bookmarkStart w:id="29" w:name="X06a032b4b904b4e0c4cbf2970bc9aee5d87af00"/>
    <w:p>
      <w:pPr>
        <w:pStyle w:val="Heading3"/>
      </w:pPr>
      <w:r>
        <w:t xml:space="preserve">2.1. Raw Material Acquisition and Pre-processing (Scope 3 - Upstream)</w:t>
      </w:r>
    </w:p>
    <w:p>
      <w:pPr>
        <w:pStyle w:val="FirstParagraph"/>
      </w:pPr>
      <w:r>
        <w:t xml:space="preserve">The Detailed Bill of Materials (BOM) for \'spwehzwhwh\' (`ykdwjywn`) is critical for calculating the material impact. The BOM data structure for each item is: ID, Description, Category, Process, Qty, Unit, Emission Factor (kgCO2e/unit), Total Carbon (kgCO2e).</w:t>
      </w:r>
    </w:p>
    <w:p>
      <w:pPr>
        <w:pStyle w:val="BodyText"/>
      </w:pPr>
      <w:r>
        <w:t xml:space="preserve">For the purpose of this report, the following illustrative BOM data is used, assuming these are the parsed contents of \'ykdwjywn\':</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M-004</w:t>
            </w:r>
          </w:p>
        </w:tc>
        <w:tc>
          <w:tcPr/>
          <w:p>
            <w:pPr>
              <w:pStyle w:val="Compact"/>
              <w:jc w:val="left"/>
            </w:pPr>
            <w:r>
              <w:t xml:space="preserve">Cardboard Packaging</w:t>
            </w:r>
          </w:p>
        </w:tc>
        <w:tc>
          <w:tcPr/>
          <w:p>
            <w:pPr>
              <w:pStyle w:val="Compact"/>
              <w:jc w:val="left"/>
            </w:pPr>
            <w:r>
              <w:t xml:space="preserve">Paper/Packaging</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p>
            <w:pPr>
              <w:pStyle w:val="Compact"/>
              <w:jc w:val="left"/>
            </w:pPr>
            <w:r>
              <w:t xml:space="preserve">M-005</w:t>
            </w:r>
          </w:p>
        </w:tc>
        <w:tc>
          <w:tcPr/>
          <w:p>
            <w:pPr>
              <w:pStyle w:val="Compact"/>
              <w:jc w:val="left"/>
            </w:pPr>
            <w:r>
              <w:t xml:space="preserve">User Manual</w:t>
            </w:r>
          </w:p>
        </w:tc>
        <w:tc>
          <w:tcPr/>
          <w:p>
            <w:pPr>
              <w:pStyle w:val="Compact"/>
              <w:jc w:val="left"/>
            </w:pPr>
            <w:r>
              <w:t xml:space="preserve">Paper/Printing</w:t>
            </w:r>
          </w:p>
        </w:tc>
        <w:tc>
          <w:tcPr/>
          <w:p>
            <w:pPr>
              <w:pStyle w:val="Compact"/>
              <w:jc w:val="left"/>
            </w:pPr>
            <w:r>
              <w:t xml:space="preserve">Printing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0.015</w:t>
            </w:r>
          </w:p>
        </w:tc>
      </w:tr>
      <w:tr>
        <w:tc>
          <w:tcPr>
            <w:gridSpan w:val="7"/>
          </w:tcPr>
          <w:p>
            <w:pPr>
              <w:pStyle w:val="Compact"/>
              <w:jc w:val="right"/>
            </w:pPr>
            <w:r>
              <w:rPr>
                <w:bCs/>
                <w:b/>
              </w:rPr>
              <w:t xml:space="preserve">Total Material Emissions:</w:t>
            </w:r>
          </w:p>
        </w:tc>
        <w:tc>
          <w:tcPr/>
          <w:p>
            <w:pPr>
              <w:pStyle w:val="Compact"/>
              <w:jc w:val="left"/>
            </w:pPr>
            <w:r>
              <w:rPr>
                <w:bCs/>
                <w:b/>
              </w:rPr>
              <w:t xml:space="preserve">6.665 kg CO2e</w:t>
            </w:r>
          </w:p>
        </w:tc>
      </w:tr>
    </w:tbl>
    <w:p>
      <w:pPr>
        <w:pStyle w:val="BodyText"/>
      </w:pPr>
      <w:r>
        <w:rPr>
          <w:iCs/>
          <w:i/>
        </w:rPr>
        <w:t xml:space="preserve">Note: The "Total Carbon (kgCO2e)" for each item is taken directly from the illustrative data, assuming it represents the pre-calculated emission for that specific quantity of material, as per the specified format of `ykdwjywn`.</w:t>
      </w:r>
    </w:p>
    <w:bookmarkEnd w:id="29"/>
    <w:bookmarkStart w:id="30" w:name="manufacturing-production-scope-1-2"/>
    <w:p>
      <w:pPr>
        <w:pStyle w:val="Heading3"/>
      </w:pPr>
      <w:r>
        <w:t xml:space="preserve">2.2. Manufacturing / Production (Scope 1 &amp; 2)</w:t>
      </w:r>
    </w:p>
    <w:p>
      <w:pPr>
        <w:pStyle w:val="FirstParagraph"/>
      </w:pPr>
      <w:r>
        <w:t xml:space="preserve">The manufacturing process occurs in China. Energy inputs are a primary data point.</w:t>
      </w:r>
    </w:p>
    <w:p>
      <w:pPr>
        <w:numPr>
          <w:ilvl w:val="0"/>
          <w:numId w:val="1006"/>
        </w:numPr>
        <w:pStyle w:val="Compact"/>
      </w:pPr>
      <w:r>
        <w:rPr>
          <w:bCs/>
          <w:b/>
        </w:rPr>
        <w:t xml:space="preserve">Energy Intensity (kWh/unit):</w:t>
      </w:r>
      <w:r>
        <w:t xml:space="preserve"> </w:t>
      </w:r>
      <w:r>
        <w:t xml:space="preserve">lszztzxuzk (Illustrative: 5 kWh/unit)</w:t>
      </w:r>
    </w:p>
    <w:p>
      <w:pPr>
        <w:numPr>
          <w:ilvl w:val="0"/>
          <w:numId w:val="1006"/>
        </w:numPr>
        <w:pStyle w:val="Compact"/>
      </w:pPr>
      <w:r>
        <w:rPr>
          <w:bCs/>
          <w:b/>
        </w:rPr>
        <w:t xml:space="preserve">Renewable Energy Usage:</w:t>
      </w:r>
      <w:r>
        <w:t xml:space="preserve"> </w:t>
      </w:r>
      <w:r>
        <w:t xml:space="preserve">jkqxgqqgsp (Illustrative: 70%)</w:t>
      </w:r>
    </w:p>
    <w:p>
      <w:pPr>
        <w:numPr>
          <w:ilvl w:val="0"/>
          <w:numId w:val="1006"/>
        </w:numPr>
        <w:pStyle w:val="Compact"/>
      </w:pPr>
      <w:r>
        <w:rPr>
          <w:bCs/>
          <w:b/>
        </w:rPr>
        <w:t xml:space="preserve">Final Production Country:</w:t>
      </w:r>
      <w:r>
        <w:t xml:space="preserve"> </w:t>
      </w:r>
      <w:r>
        <w:t xml:space="preserve">China</w:t>
      </w:r>
    </w:p>
    <w:bookmarkEnd w:id="30"/>
    <w:bookmarkStart w:id="31" w:name="X44549f4e0f966634f119e6d9621d5d1b43bdeba"/>
    <w:p>
      <w:pPr>
        <w:pStyle w:val="Heading3"/>
      </w:pPr>
      <w:r>
        <w:t xml:space="preserve">2.3. Transportation and Distribution (Scope 3 - Upstream &amp; Downstream)</w:t>
      </w:r>
    </w:p>
    <w:p>
      <w:pPr>
        <w:pStyle w:val="FirstParagraph"/>
      </w:pPr>
      <w:r>
        <w:t xml:space="preserve">Logistics data is incorporated into the supply chain analysis.</w:t>
      </w:r>
    </w:p>
    <w:p>
      <w:pPr>
        <w:numPr>
          <w:ilvl w:val="0"/>
          <w:numId w:val="1007"/>
        </w:numPr>
        <w:pStyle w:val="Compact"/>
      </w:pPr>
      <w:r>
        <w:rPr>
          <w:bCs/>
          <w:b/>
        </w:rPr>
        <w:t xml:space="preserve">Upstream Transport Mode (Illustrative):</w:t>
      </w:r>
      <w:r>
        <w:t xml:space="preserve"> </w:t>
      </w:r>
      <w:r>
        <w:t xml:space="preserve">Road Freight (HGV &gt;20t)</w:t>
      </w:r>
    </w:p>
    <w:p>
      <w:pPr>
        <w:numPr>
          <w:ilvl w:val="0"/>
          <w:numId w:val="1007"/>
        </w:numPr>
        <w:pStyle w:val="Compact"/>
      </w:pPr>
      <w:r>
        <w:rPr>
          <w:bCs/>
          <w:b/>
        </w:rPr>
        <w:t xml:space="preserve">Upstream Transport Distance (Illustrative):</w:t>
      </w:r>
      <w:r>
        <w:t xml:space="preserve"> </w:t>
      </w:r>
      <w:r>
        <w:t xml:space="preserve">iulwiqyqvt (1500 km, for materials from Europe to China)</w:t>
      </w:r>
    </w:p>
    <w:p>
      <w:pPr>
        <w:numPr>
          <w:ilvl w:val="0"/>
          <w:numId w:val="1007"/>
        </w:numPr>
        <w:pStyle w:val="Compact"/>
      </w:pPr>
      <w:r>
        <w:rPr>
          <w:bCs/>
          <w:b/>
        </w:rPr>
        <w:t xml:space="preserve">Downstream Transport Mode (Illustrative):</w:t>
      </w:r>
      <w:r>
        <w:t xml:space="preserve"> </w:t>
      </w:r>
      <w:r>
        <w:t xml:space="preserve">Road Freight (HGV &gt;20t)</w:t>
      </w:r>
    </w:p>
    <w:p>
      <w:pPr>
        <w:numPr>
          <w:ilvl w:val="0"/>
          <w:numId w:val="1007"/>
        </w:numPr>
        <w:pStyle w:val="Compact"/>
      </w:pPr>
      <w:r>
        <w:rPr>
          <w:bCs/>
          <w:b/>
        </w:rPr>
        <w:t xml:space="preserve">Downstream Transport Distance (Illustrative):</w:t>
      </w:r>
      <w:r>
        <w:t xml:space="preserve"> </w:t>
      </w:r>
      <w:r>
        <w:t xml:space="preserve">500 km (from factory to distribution hub in Europe)</w:t>
      </w:r>
    </w:p>
    <w:p>
      <w:pPr>
        <w:numPr>
          <w:ilvl w:val="0"/>
          <w:numId w:val="1007"/>
        </w:numPr>
        <w:pStyle w:val="Compact"/>
      </w:pPr>
      <w:r>
        <w:rPr>
          <w:bCs/>
          <w:b/>
        </w:rPr>
        <w:t xml:space="preserve">Last-Mile Delivery Channel (Illustrative):</w:t>
      </w:r>
      <w:r>
        <w:t xml:space="preserve"> </w:t>
      </w:r>
      <w:r>
        <w:t xml:space="preserve">Delivery Type (Parcel Courier - Home Delivery)</w:t>
      </w:r>
    </w:p>
    <w:bookmarkEnd w:id="31"/>
    <w:bookmarkStart w:id="32" w:name="use-phase-scope-3---downstream"/>
    <w:p>
      <w:pPr>
        <w:pStyle w:val="Heading3"/>
      </w:pPr>
      <w:r>
        <w:t xml:space="preserve">2.4. Use Phase (Scope 3 - Downstream)</w:t>
      </w:r>
    </w:p>
    <w:p>
      <w:pPr>
        <w:pStyle w:val="FirstParagraph"/>
      </w:pPr>
      <w:r>
        <w:t xml:space="preserve">The product\'s operational lifespan and energy consumption during use are critical.</w:t>
      </w:r>
    </w:p>
    <w:p>
      <w:pPr>
        <w:numPr>
          <w:ilvl w:val="0"/>
          <w:numId w:val="1008"/>
        </w:numPr>
        <w:pStyle w:val="Compact"/>
      </w:pPr>
      <w:r>
        <w:rPr>
          <w:bCs/>
          <w:b/>
        </w:rPr>
        <w:t xml:space="preserve">Product Lifespan:</w:t>
      </w:r>
      <w:r>
        <w:t xml:space="preserve"> </w:t>
      </w:r>
      <w:r>
        <w:t xml:space="preserve">szvdmtlzti (Illustrative: 5 years)</w:t>
      </w:r>
    </w:p>
    <w:p>
      <w:pPr>
        <w:numPr>
          <w:ilvl w:val="0"/>
          <w:numId w:val="1008"/>
        </w:numPr>
        <w:pStyle w:val="Compact"/>
      </w:pPr>
      <w:r>
        <w:rPr>
          <w:bCs/>
          <w:b/>
        </w:rPr>
        <w:t xml:space="preserve">Energy Consumption in Use:</w:t>
      </w:r>
      <w:r>
        <w:t xml:space="preserve"> </w:t>
      </w:r>
      <w:r>
        <w:t xml:space="preserve">fnwyfqqkvf (Illustrative: 10 kWh/year)</w:t>
      </w:r>
    </w:p>
    <w:bookmarkEnd w:id="32"/>
    <w:bookmarkStart w:id="33" w:name="end-of-life-eol-scope-3---downstream"/>
    <w:p>
      <w:pPr>
        <w:pStyle w:val="Heading3"/>
      </w:pPr>
      <w:r>
        <w:t xml:space="preserve">2.5. End-of-Life (EoL) (Scope 3 - Downstream)</w:t>
      </w:r>
    </w:p>
    <w:p>
      <w:pPr>
        <w:pStyle w:val="FirstParagraph"/>
      </w:pPr>
      <w:r>
        <w:t xml:space="preserve">EoL scenarios reflect circular economy impacts.</w:t>
      </w:r>
    </w:p>
    <w:p>
      <w:pPr>
        <w:numPr>
          <w:ilvl w:val="0"/>
          <w:numId w:val="1009"/>
        </w:numPr>
        <w:pStyle w:val="Compact"/>
      </w:pPr>
      <w:r>
        <w:rPr>
          <w:bCs/>
          <w:b/>
        </w:rPr>
        <w:t xml:space="preserve">Recyclability Percentage:</w:t>
      </w:r>
      <w:r>
        <w:t xml:space="preserve"> </w:t>
      </w:r>
      <w:r>
        <w:t xml:space="preserve">xzjgttsgpk (Illustrative: 80%)</w:t>
      </w:r>
    </w:p>
    <w:p>
      <w:pPr>
        <w:numPr>
          <w:ilvl w:val="0"/>
          <w:numId w:val="1009"/>
        </w:numPr>
        <w:pStyle w:val="Compact"/>
      </w:pPr>
      <w:r>
        <w:rPr>
          <w:bCs/>
          <w:b/>
        </w:rPr>
        <w:t xml:space="preserve">Circular/Take-back Programs:</w:t>
      </w:r>
      <w:r>
        <w:t xml:space="preserve"> </w:t>
      </w:r>
      <w:r>
        <w:t xml:space="preserve">jtqoikiuhq (Illustrative: Product return and material recovery program)</w:t>
      </w:r>
    </w:p>
    <w:p>
      <w:r>
        <w:pict>
          <v:rect style="width:0;height:1.5pt" o:hralign="center" o:hrstd="t" o:hr="t"/>
        </w:pict>
      </w:r>
    </w:p>
    <w:bookmarkEnd w:id="33"/>
    <w:bookmarkEnd w:id="34"/>
    <w:bookmarkStart w:id="46" w:name="Xdd1c2ba429305467bad58a0828410d9d0fce25c"/>
    <w:p>
      <w:pPr>
        <w:pStyle w:val="Heading2"/>
      </w:pPr>
      <w:r>
        <w:t xml:space="preserve">4. Emissions Calculation (Activity * Emission Factor = CO2e)</w:t>
      </w:r>
    </w:p>
    <w:p>
      <w:pPr>
        <w:pStyle w:val="FirstParagraph"/>
      </w:pPr>
      <w:r>
        <w:t xml:space="preserve">Emissions are calculated for each lifecycle stage using industry-standard emission factors. For illustrative purposes, typical emission factors from Ecoinvent/DEFRA equivalents are used here.</w:t>
      </w:r>
    </w:p>
    <w:bookmarkStart w:id="35" w:name="emission-factors-used-illustrative"/>
    <w:p>
      <w:pPr>
        <w:pStyle w:val="Heading3"/>
      </w:pPr>
      <w:r>
        <w:t xml:space="preserve">4.1. Emission Factors Used (Illustrative)</w:t>
      </w:r>
    </w:p>
    <w:p>
      <w:pPr>
        <w:numPr>
          <w:ilvl w:val="0"/>
          <w:numId w:val="1010"/>
        </w:numPr>
        <w:pStyle w:val="Compact"/>
      </w:pPr>
      <w:r>
        <w:rPr>
          <w:bCs/>
          <w:b/>
        </w:rPr>
        <w:t xml:space="preserve">China Electricity Grid Mix (for non-renewable portion):</w:t>
      </w:r>
      <w:r>
        <w:t xml:space="preserve"> </w:t>
      </w:r>
      <w:r>
        <w:t xml:space="preserve">0.556 kg CO2e/kWh</w:t>
      </w:r>
    </w:p>
    <w:p>
      <w:pPr>
        <w:numPr>
          <w:ilvl w:val="0"/>
          <w:numId w:val="1010"/>
        </w:numPr>
        <w:pStyle w:val="Compact"/>
      </w:pPr>
      <w:r>
        <w:rPr>
          <w:bCs/>
          <w:b/>
        </w:rPr>
        <w:t xml:space="preserve">European Road Freight (HGV &gt;20t):</w:t>
      </w:r>
      <w:r>
        <w:t xml:space="preserve"> </w:t>
      </w:r>
      <w:r>
        <w:t xml:space="preserve">0.092 kg CO2e/tonne-km</w:t>
      </w:r>
    </w:p>
    <w:p>
      <w:pPr>
        <w:numPr>
          <w:ilvl w:val="0"/>
          <w:numId w:val="1010"/>
        </w:numPr>
        <w:pStyle w:val="Compact"/>
      </w:pPr>
      <w:r>
        <w:rPr>
          <w:bCs/>
          <w:b/>
        </w:rPr>
        <w:t xml:space="preserve">Last-Mile Delivery (Parcel Courier):</w:t>
      </w:r>
      <w:r>
        <w:t xml:space="preserve"> </w:t>
      </w:r>
      <w:r>
        <w:t xml:space="preserve">0.100 kg CO2e/parcel (average for home delivery)</w:t>
      </w:r>
    </w:p>
    <w:p>
      <w:pPr>
        <w:numPr>
          <w:ilvl w:val="0"/>
          <w:numId w:val="1010"/>
        </w:numPr>
        <w:pStyle w:val="Compact"/>
      </w:pPr>
      <w:r>
        <w:rPr>
          <w:bCs/>
          <w:b/>
        </w:rPr>
        <w:t xml:space="preserve">Generic Electricity Mix (for use phase, global average assumed for illustration):</w:t>
      </w:r>
      <w:r>
        <w:t xml:space="preserve"> </w:t>
      </w:r>
      <w:r>
        <w:t xml:space="preserve">0.400 kg CO2e/kWh (Note: actual emissions depend on user\'s specific electricity mix)</w:t>
      </w:r>
    </w:p>
    <w:bookmarkEnd w:id="35"/>
    <w:bookmarkStart w:id="41" w:name="detailed-calculations"/>
    <w:p>
      <w:pPr>
        <w:pStyle w:val="Heading3"/>
      </w:pPr>
      <w:r>
        <w:t xml:space="preserve">4.2. Detailed Calculations</w:t>
      </w:r>
    </w:p>
    <w:bookmarkStart w:id="36" w:name="materials-scope-3---upstream"/>
    <w:p>
      <w:pPr>
        <w:pStyle w:val="Heading4"/>
      </w:pPr>
      <w:r>
        <w:t xml:space="preserve">4.2.1. Materials (Scope 3 - Upstream)</w:t>
      </w:r>
    </w:p>
    <w:p>
      <w:pPr>
        <w:pStyle w:val="FirstParagraph"/>
      </w:pPr>
      <w:r>
        <w:t xml:space="preserve">Based on the illustrative BOM data provided in Section 2.1.</w:t>
      </w:r>
    </w:p>
    <w:p>
      <w:pPr>
        <w:numPr>
          <w:ilvl w:val="0"/>
          <w:numId w:val="1011"/>
        </w:numPr>
        <w:pStyle w:val="Compact"/>
      </w:pPr>
      <w:r>
        <w:rPr>
          <w:bCs/>
          <w:b/>
        </w:rPr>
        <w:t xml:space="preserve">Total Material Emissions:</w:t>
      </w:r>
      <w:r>
        <w:t xml:space="preserve"> </w:t>
      </w:r>
      <w:r>
        <w:t xml:space="preserve">6.665 kg CO2e</w:t>
      </w:r>
    </w:p>
    <w:bookmarkEnd w:id="36"/>
    <w:bookmarkStart w:id="37" w:name="manufacturing-production-scope-2"/>
    <w:p>
      <w:pPr>
        <w:pStyle w:val="Heading4"/>
      </w:pPr>
      <w:r>
        <w:t xml:space="preserve">4.2.2. Manufacturing / Production (Scope 2)</w:t>
      </w:r>
    </w:p>
    <w:p>
      <w:pPr>
        <w:numPr>
          <w:ilvl w:val="0"/>
          <w:numId w:val="1012"/>
        </w:numPr>
        <w:pStyle w:val="Compact"/>
      </w:pPr>
      <w:r>
        <w:rPr>
          <w:bCs/>
          <w:b/>
        </w:rPr>
        <w:t xml:space="preserve">Total Energy Consumption (per unit):</w:t>
      </w:r>
      <w:r>
        <w:t xml:space="preserve"> </w:t>
      </w:r>
      <w:r>
        <w:t xml:space="preserve">5 kWh/unit (from lszztzxuzk)</w:t>
      </w:r>
    </w:p>
    <w:p>
      <w:pPr>
        <w:numPr>
          <w:ilvl w:val="0"/>
          <w:numId w:val="1012"/>
        </w:numPr>
        <w:pStyle w:val="Compact"/>
      </w:pPr>
      <w:r>
        <w:rPr>
          <w:bCs/>
          <w:b/>
        </w:rPr>
        <w:t xml:space="preserve">Renewable Energy Usage:</w:t>
      </w:r>
      <w:r>
        <w:t xml:space="preserve"> </w:t>
      </w:r>
      <w:r>
        <w:t xml:space="preserve">70% (from jkqxgqqgsp)</w:t>
      </w:r>
    </w:p>
    <w:p>
      <w:pPr>
        <w:numPr>
          <w:ilvl w:val="0"/>
          <w:numId w:val="1012"/>
        </w:numPr>
        <w:pStyle w:val="Compact"/>
      </w:pPr>
      <w:r>
        <w:rPr>
          <w:bCs/>
          <w:b/>
        </w:rPr>
        <w:t xml:space="preserve">Non-renewable Electricity Consumption:</w:t>
      </w:r>
      <w:r>
        <w:t xml:space="preserve"> </w:t>
      </w:r>
      <w:r>
        <w:t xml:space="preserve">5 kWh/unit * (1 - 0.70) = 1.5 kWh/unit</w:t>
      </w:r>
    </w:p>
    <w:p>
      <w:pPr>
        <w:numPr>
          <w:ilvl w:val="0"/>
          <w:numId w:val="1012"/>
        </w:numPr>
        <w:pStyle w:val="Compact"/>
      </w:pPr>
      <w:r>
        <w:rPr>
          <w:bCs/>
          <w:b/>
        </w:rPr>
        <w:t xml:space="preserve">Production Emissions:</w:t>
      </w:r>
      <w:r>
        <w:t xml:space="preserve"> </w:t>
      </w:r>
      <w:r>
        <w:t xml:space="preserve">1.5 kWh/unit * 0.556 kg CO2e/kWh (China grid) = 0.834 kg CO2e/unit</w:t>
      </w:r>
    </w:p>
    <w:p>
      <w:pPr>
        <w:numPr>
          <w:ilvl w:val="0"/>
          <w:numId w:val="1012"/>
        </w:numPr>
        <w:pStyle w:val="Compact"/>
      </w:pPr>
      <w:r>
        <w:rPr>
          <w:iCs/>
          <w:i/>
        </w:rPr>
        <w:t xml:space="preserve">Scope 1 emissions (direct from manufacturing processes, e.g., on-site fuel combustion) are assumed to be negligible or zero as no specific data was provided for these.</w:t>
      </w:r>
    </w:p>
    <w:bookmarkEnd w:id="37"/>
    <w:bookmarkStart w:id="38" w:name="transportation-and-distribution-scope-3"/>
    <w:p>
      <w:pPr>
        <w:pStyle w:val="Heading4"/>
      </w:pPr>
      <w:r>
        <w:t xml:space="preserve">4.2.3. Transportation and Distribution (Scope 3)</w:t>
      </w:r>
    </w:p>
    <w:p>
      <w:pPr>
        <w:pStyle w:val="FirstParagraph"/>
      </w:pPr>
      <w:r>
        <w:t xml:space="preserve">Assuming an average product weight of 0.8 kg per unit for transport calculations (based on illustrative BOM total quantity).</w:t>
      </w:r>
    </w:p>
    <w:p>
      <w:pPr>
        <w:numPr>
          <w:ilvl w:val="0"/>
          <w:numId w:val="1013"/>
        </w:numPr>
        <w:pStyle w:val="Compact"/>
      </w:pPr>
      <w:r>
        <w:rPr>
          <w:bCs/>
          <w:b/>
        </w:rPr>
        <w:t xml:space="preserve">Upstream Transport Emissions (Europe to China factory):</w:t>
      </w:r>
    </w:p>
    <w:p>
      <w:pPr>
        <w:numPr>
          <w:ilvl w:val="0"/>
          <w:numId w:val="1013"/>
        </w:numPr>
        <w:pStyle w:val="Compact"/>
      </w:pPr>
    </w:p>
    <w:p>
      <w:pPr>
        <w:numPr>
          <w:ilvl w:val="1"/>
          <w:numId w:val="1014"/>
        </w:numPr>
        <w:pStyle w:val="Compact"/>
      </w:pPr>
      <w:r>
        <w:t xml:space="preserve">Distance: 1500 km (from iulwiqyqvt)</w:t>
      </w:r>
    </w:p>
    <w:p>
      <w:pPr>
        <w:numPr>
          <w:ilvl w:val="1"/>
          <w:numId w:val="1014"/>
        </w:numPr>
        <w:pStyle w:val="Compact"/>
      </w:pPr>
      <w:r>
        <w:t xml:space="preserve">Emission Factor: 0.092 kg CO2e/tonne-km</w:t>
      </w:r>
    </w:p>
    <w:p>
      <w:pPr>
        <w:numPr>
          <w:ilvl w:val="1"/>
          <w:numId w:val="1014"/>
        </w:numPr>
        <w:pStyle w:val="Compact"/>
      </w:pPr>
      <w:r>
        <w:t xml:space="preserve">Calculated: 0.8 kg * (1 tonne / 1000 kg) * 1500 km * 0.092 kg CO2e/tonne-km = 0.1104 kg CO2e/unit</w:t>
      </w:r>
    </w:p>
    <w:p>
      <w:pPr>
        <w:numPr>
          <w:ilvl w:val="0"/>
          <w:numId w:val="1013"/>
        </w:numPr>
        <w:pStyle w:val="Compact"/>
      </w:pPr>
      <w:r>
        <w:rPr>
          <w:bCs/>
          <w:b/>
        </w:rPr>
        <w:t xml:space="preserve">Downstream Transport Emissions (Factory to European Distribution Hub):</w:t>
      </w:r>
    </w:p>
    <w:p>
      <w:pPr>
        <w:numPr>
          <w:ilvl w:val="0"/>
          <w:numId w:val="1013"/>
        </w:numPr>
        <w:pStyle w:val="Compact"/>
      </w:pPr>
    </w:p>
    <w:p>
      <w:pPr>
        <w:numPr>
          <w:ilvl w:val="1"/>
          <w:numId w:val="1015"/>
        </w:numPr>
        <w:pStyle w:val="Compact"/>
      </w:pPr>
      <w:r>
        <w:t xml:space="preserve">Distance (illustrative): 500 km</w:t>
      </w:r>
    </w:p>
    <w:p>
      <w:pPr>
        <w:numPr>
          <w:ilvl w:val="1"/>
          <w:numId w:val="1015"/>
        </w:numPr>
        <w:pStyle w:val="Compact"/>
      </w:pPr>
      <w:r>
        <w:t xml:space="preserve">Emission Factor: 0.092 kg CO2e/tonne-km</w:t>
      </w:r>
    </w:p>
    <w:p>
      <w:pPr>
        <w:numPr>
          <w:ilvl w:val="1"/>
          <w:numId w:val="1015"/>
        </w:numPr>
        <w:pStyle w:val="Compact"/>
      </w:pPr>
      <w:r>
        <w:t xml:space="preserve">Calculated: 0.8 kg * (1 tonne / 1000 kg) * 500 km * 0.092 kg CO2e/tonne-km = 0.0368 kg CO2e/unit</w:t>
      </w:r>
    </w:p>
    <w:p>
      <w:pPr>
        <w:numPr>
          <w:ilvl w:val="0"/>
          <w:numId w:val="1013"/>
        </w:numPr>
        <w:pStyle w:val="Compact"/>
      </w:pPr>
      <w:r>
        <w:rPr>
          <w:bCs/>
          <w:b/>
        </w:rPr>
        <w:t xml:space="preserve">Last-Mile Delivery Emissions (Parcel Courier - Home Delivery):</w:t>
      </w:r>
    </w:p>
    <w:p>
      <w:pPr>
        <w:numPr>
          <w:ilvl w:val="0"/>
          <w:numId w:val="1013"/>
        </w:numPr>
        <w:pStyle w:val="Compact"/>
      </w:pPr>
    </w:p>
    <w:p>
      <w:pPr>
        <w:numPr>
          <w:ilvl w:val="1"/>
          <w:numId w:val="1016"/>
        </w:numPr>
        <w:pStyle w:val="Compact"/>
      </w:pPr>
      <w:r>
        <w:t xml:space="preserve">Emission Factor: 0.100 kg CO2e/parcel</w:t>
      </w:r>
    </w:p>
    <w:p>
      <w:pPr>
        <w:numPr>
          <w:ilvl w:val="1"/>
          <w:numId w:val="1016"/>
        </w:numPr>
        <w:pStyle w:val="Compact"/>
      </w:pPr>
      <w:r>
        <w:t xml:space="preserve">Calculated: 1 unit * 0.100 kg CO2e/parcel = 0.100 kg CO2e/unit</w:t>
      </w:r>
    </w:p>
    <w:p>
      <w:pPr>
        <w:numPr>
          <w:ilvl w:val="0"/>
          <w:numId w:val="1013"/>
        </w:numPr>
        <w:pStyle w:val="Compact"/>
      </w:pPr>
      <w:r>
        <w:rPr>
          <w:bCs/>
          <w:b/>
        </w:rPr>
        <w:t xml:space="preserve">Total Transport Emissions:</w:t>
      </w:r>
      <w:r>
        <w:t xml:space="preserve"> </w:t>
      </w:r>
      <w:r>
        <w:t xml:space="preserve">0.1104 + 0.0368 + 0.100 = 0.2472 kg CO2e/unit</w:t>
      </w:r>
    </w:p>
    <w:bookmarkEnd w:id="38"/>
    <w:bookmarkStart w:id="39" w:name="use-phase-scope-3---downstream-1"/>
    <w:p>
      <w:pPr>
        <w:pStyle w:val="Heading4"/>
      </w:pPr>
      <w:r>
        <w:t xml:space="preserve">4.2.4. Use Phase (Scope 3 - Downstream)</w:t>
      </w:r>
    </w:p>
    <w:p>
      <w:pPr>
        <w:numPr>
          <w:ilvl w:val="0"/>
          <w:numId w:val="1017"/>
        </w:numPr>
        <w:pStyle w:val="Compact"/>
      </w:pPr>
      <w:r>
        <w:rPr>
          <w:bCs/>
          <w:b/>
        </w:rPr>
        <w:t xml:space="preserve">Product Lifespan:</w:t>
      </w:r>
      <w:r>
        <w:t xml:space="preserve"> </w:t>
      </w:r>
      <w:r>
        <w:t xml:space="preserve">5 years (from szvdmtlzti)</w:t>
      </w:r>
    </w:p>
    <w:p>
      <w:pPr>
        <w:numPr>
          <w:ilvl w:val="0"/>
          <w:numId w:val="1017"/>
        </w:numPr>
        <w:pStyle w:val="Compact"/>
      </w:pPr>
      <w:r>
        <w:rPr>
          <w:bCs/>
          <w:b/>
        </w:rPr>
        <w:t xml:space="preserve">Annual Energy Consumption:</w:t>
      </w:r>
      <w:r>
        <w:t xml:space="preserve"> </w:t>
      </w:r>
      <w:r>
        <w:t xml:space="preserve">10 kWh/year (from fnwyfqqkvf)</w:t>
      </w:r>
    </w:p>
    <w:p>
      <w:pPr>
        <w:numPr>
          <w:ilvl w:val="0"/>
          <w:numId w:val="1017"/>
        </w:numPr>
        <w:pStyle w:val="Compact"/>
      </w:pPr>
      <w:r>
        <w:rPr>
          <w:bCs/>
          <w:b/>
        </w:rPr>
        <w:t xml:space="preserve">Total Energy Consumption over Lifespan:</w:t>
      </w:r>
      <w:r>
        <w:t xml:space="preserve"> </w:t>
      </w:r>
      <w:r>
        <w:t xml:space="preserve">10 kWh/year * 5 years = 50 kWh/unit</w:t>
      </w:r>
    </w:p>
    <w:p>
      <w:pPr>
        <w:numPr>
          <w:ilvl w:val="0"/>
          <w:numId w:val="1017"/>
        </w:numPr>
        <w:pStyle w:val="Compact"/>
      </w:pPr>
      <w:r>
        <w:rPr>
          <w:bCs/>
          <w:b/>
        </w:rPr>
        <w:t xml:space="preserve">Use Phase Emissions:</w:t>
      </w:r>
      <w:r>
        <w:t xml:space="preserve"> </w:t>
      </w:r>
      <w:r>
        <w:t xml:space="preserve">50 kWh/unit * 0.400 kg CO2e/kWh (generic EF) = 20.0 kg CO2e/unit</w:t>
      </w:r>
    </w:p>
    <w:bookmarkEnd w:id="39"/>
    <w:bookmarkStart w:id="40" w:name="end-of-life-eol-scope-3---downstream-1"/>
    <w:p>
      <w:pPr>
        <w:pStyle w:val="Heading4"/>
      </w:pPr>
      <w:r>
        <w:t xml:space="preserve">4.2.5. End-of-Life (EoL) (Scope 3 - Downstream)</w:t>
      </w:r>
    </w:p>
    <w:p>
      <w:pPr>
        <w:numPr>
          <w:ilvl w:val="0"/>
          <w:numId w:val="1018"/>
        </w:numPr>
        <w:pStyle w:val="Compact"/>
      </w:pPr>
      <w:r>
        <w:rPr>
          <w:bCs/>
          <w:b/>
        </w:rPr>
        <w:t xml:space="preserve">Recyclability Percentage:</w:t>
      </w:r>
      <w:r>
        <w:t xml:space="preserve"> </w:t>
      </w:r>
      <w:r>
        <w:t xml:space="preserve">80% (from xzjgttsgpk)</w:t>
      </w:r>
    </w:p>
    <w:p>
      <w:pPr>
        <w:numPr>
          <w:ilvl w:val="0"/>
          <w:numId w:val="1018"/>
        </w:numPr>
        <w:pStyle w:val="Compact"/>
      </w:pPr>
      <w:r>
        <w:rPr>
          <w:bCs/>
          <w:b/>
        </w:rPr>
        <w:t xml:space="preserve">Circular/Take-back Programs:</w:t>
      </w:r>
      <w:r>
        <w:t xml:space="preserve"> </w:t>
      </w:r>
      <w:r>
        <w:t xml:space="preserve">Product return and material recovery program (from jtqoikiuhq)</w:t>
      </w:r>
    </w:p>
    <w:p>
      <w:pPr>
        <w:pStyle w:val="FirstParagraph"/>
      </w:pPr>
      <w:r>
        <w:t xml:space="preserve">Assuming that 80% recyclability leads to avoided emissions through material recovery. A simplified approach is taken here without specific EoL emission factors for each material.</w:t>
      </w:r>
    </w:p>
    <w:p>
      <w:pPr>
        <w:numPr>
          <w:ilvl w:val="0"/>
          <w:numId w:val="1019"/>
        </w:numPr>
        <w:pStyle w:val="Compact"/>
      </w:pPr>
      <w:r>
        <w:rPr>
          <w:bCs/>
          <w:b/>
        </w:rPr>
        <w:t xml:space="preserve">Avoided Emissions (Illustrative):</w:t>
      </w:r>
      <w:r>
        <w:t xml:space="preserve"> </w:t>
      </w:r>
      <w:r>
        <w:t xml:space="preserve">If 80% of the material (by carbon impact, e.g., 80% of 6.665 kg CO2e for materials) is recovered and replaces virgin material, this can lead to significant avoided emissions. For simplicity, we will assume a 50% credit on the material emissions for the recyclable portion.</w:t>
      </w:r>
    </w:p>
    <w:p>
      <w:pPr>
        <w:numPr>
          <w:ilvl w:val="0"/>
          <w:numId w:val="1019"/>
        </w:numPr>
        <w:pStyle w:val="Compact"/>
      </w:pPr>
      <w:r>
        <w:t xml:space="preserve">Calculated avoided emissions: 6.665 kg CO2e * 0.80 (recyclability) * 0.50 (credit factor) = 2.666 kg CO2e (avoided, thus subtracted)</w:t>
      </w:r>
    </w:p>
    <w:p>
      <w:pPr>
        <w:numPr>
          <w:ilvl w:val="0"/>
          <w:numId w:val="1019"/>
        </w:numPr>
        <w:pStyle w:val="Compact"/>
      </w:pPr>
      <w:r>
        <w:rPr>
          <w:bCs/>
          <w:b/>
        </w:rPr>
        <w:t xml:space="preserve">Net EoL Emissions:</w:t>
      </w:r>
      <w:r>
        <w:t xml:space="preserve"> </w:t>
      </w:r>
      <w:r>
        <w:t xml:space="preserve">-2.666 kg CO2e/unit (negative value indicates a credit/reduction)</w:t>
      </w:r>
    </w:p>
    <w:bookmarkEnd w:id="40"/>
    <w:bookmarkEnd w:id="41"/>
    <w:bookmarkStart w:id="42" w:name="total-product-carbon-footprint-pcf"/>
    <w:p>
      <w:pPr>
        <w:pStyle w:val="Heading3"/>
      </w:pPr>
      <w:r>
        <w:t xml:space="preserve">4.3. Total Product Carbon Footprint (PCF)</w:t>
      </w:r>
    </w:p>
    <w:p>
      <w:pPr>
        <w:pStyle w:val="FirstParagraph"/>
      </w:pPr>
      <w:r>
        <w:t xml:space="preserve">Summing up emissions from all lifecycle stages: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(Raw Material Acquisition &amp; Pre-processing)</w:t>
            </w:r>
          </w:p>
        </w:tc>
        <w:tc>
          <w:tcPr/>
          <w:p>
            <w:pPr>
              <w:pStyle w:val="Compact"/>
              <w:jc w:val="left"/>
            </w:pPr>
            <w:r>
              <w:t xml:space="preserve">Scope 3 (Upstream)</w:t>
            </w:r>
          </w:p>
        </w:tc>
        <w:tc>
          <w:tcPr/>
          <w:p>
            <w:pPr>
              <w:pStyle w:val="Compact"/>
              <w:jc w:val="left"/>
            </w:pPr>
            <w:r>
              <w:t xml:space="preserve">6.665</w:t>
            </w:r>
          </w:p>
        </w:tc>
      </w:tr>
      <w:tr>
        <w:tc>
          <w:tcPr/>
          <w:p>
            <w:pPr>
              <w:pStyle w:val="Compact"/>
              <w:jc w:val="left"/>
            </w:pPr>
            <w:r>
              <w:t xml:space="preserve">Manufacturing / Production</w:t>
            </w:r>
          </w:p>
        </w:tc>
        <w:tc>
          <w:tcPr/>
          <w:p>
            <w:pPr>
              <w:pStyle w:val="Compact"/>
              <w:jc w:val="left"/>
            </w:pPr>
            <w:r>
              <w:t xml:space="preserve">Scope 2</w:t>
            </w:r>
          </w:p>
        </w:tc>
        <w:tc>
          <w:tcPr/>
          <w:p>
            <w:pPr>
              <w:pStyle w:val="Compact"/>
              <w:jc w:val="left"/>
            </w:pPr>
            <w:r>
              <w:t xml:space="preserve">0.834</w:t>
            </w:r>
          </w:p>
        </w:tc>
      </w:tr>
      <w:tr>
        <w:tc>
          <w:tcPr/>
          <w:p>
            <w:pPr>
              <w:pStyle w:val="Compact"/>
              <w:jc w:val="left"/>
            </w:pPr>
            <w:r>
              <w:t xml:space="preserve">Transportation (Upstream &amp; Downstream excluding Last-Mile)</w:t>
            </w:r>
          </w:p>
        </w:tc>
        <w:tc>
          <w:tcPr/>
          <w:p>
            <w:pPr>
              <w:pStyle w:val="Compact"/>
              <w:jc w:val="left"/>
            </w:pPr>
            <w:r>
              <w:t xml:space="preserve">Scope 3 (Upstream &amp; Downstream)</w:t>
            </w:r>
          </w:p>
        </w:tc>
        <w:tc>
          <w:tcPr/>
          <w:p>
            <w:pPr>
              <w:pStyle w:val="Compact"/>
              <w:jc w:val="left"/>
            </w:pPr>
            <w:r>
              <w:t xml:space="preserve">0.1472 (0.1104 + 0.0368)</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0.100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20.000</w:t>
            </w:r>
          </w:p>
        </w:tc>
      </w:tr>
      <w:tr>
        <w:tc>
          <w:tcPr/>
          <w:p>
            <w:pPr>
              <w:pStyle w:val="Compact"/>
              <w:jc w:val="left"/>
            </w:pPr>
            <w:r>
              <w:t xml:space="preserve">End-of-Life (Net, after credits)</w:t>
            </w:r>
          </w:p>
        </w:tc>
        <w:tc>
          <w:tcPr/>
          <w:p>
            <w:pPr>
              <w:pStyle w:val="Compact"/>
              <w:jc w:val="left"/>
            </w:pPr>
            <w:r>
              <w:t xml:space="preserve">Scope 3 (Downstream)</w:t>
            </w:r>
          </w:p>
        </w:tc>
        <w:tc>
          <w:tcPr/>
          <w:p>
            <w:pPr>
              <w:pStyle w:val="Compact"/>
              <w:jc w:val="left"/>
            </w:pPr>
            <w:r>
              <w:t xml:space="preserve">-2.666</w:t>
            </w:r>
          </w:p>
        </w:tc>
      </w:tr>
      <w:tr>
        <w:tc>
          <w:tcPr>
            <w:gridSpan w:val="2"/>
          </w:tcPr>
          <w:p>
            <w:pPr>
              <w:pStyle w:val="Compact"/>
              <w:jc w:val="right"/>
            </w:pPr>
            <w:r>
              <w:rPr>
                <w:bCs/>
                <w:b/>
              </w:rPr>
              <w:t xml:space="preserve">TOTAL PRODUCT CARBON FOOTPRINT (per functional unit)</w:t>
            </w:r>
          </w:p>
        </w:tc>
        <w:tc>
          <w:tcPr/>
          <w:p>
            <w:pPr>
              <w:pStyle w:val="Compact"/>
              <w:jc w:val="left"/>
            </w:pPr>
            <w:r>
              <w:rPr>
                <w:bCs/>
                <w:b/>
              </w:rPr>
              <w:t xml:space="preserve">25.0802 kg CO2e</w:t>
            </w:r>
          </w:p>
        </w:tc>
      </w:tr>
    </w:tbl>
    <w:bookmarkEnd w:id="42"/>
    <w:bookmarkStart w:id="43" w:name="ghg-protocol-scopes-breakdown"/>
    <w:p>
      <w:pPr>
        <w:pStyle w:val="Heading3"/>
      </w:pPr>
      <w:r>
        <w:t xml:space="preserve">4.4. GHG Protocol Scopes Breakdown</w:t>
      </w:r>
    </w:p>
    <w:p>
      <w:pPr>
        <w:numPr>
          <w:ilvl w:val="0"/>
          <w:numId w:val="1020"/>
        </w:numPr>
        <w:pStyle w:val="Compact"/>
      </w:pPr>
      <w:r>
        <w:rPr>
          <w:bCs/>
          <w:b/>
        </w:rPr>
        <w:t xml:space="preserve">Scope 1 Emissions:</w:t>
      </w:r>
      <w:r>
        <w:t xml:space="preserve"> </w:t>
      </w:r>
      <w:r>
        <w:t xml:space="preserve">0.000 kg CO2e (Assumed zero as no direct factory emissions data provided beyond purchased electricity)</w:t>
      </w:r>
    </w:p>
    <w:p>
      <w:pPr>
        <w:numPr>
          <w:ilvl w:val="0"/>
          <w:numId w:val="1020"/>
        </w:numPr>
        <w:pStyle w:val="Compact"/>
      </w:pPr>
      <w:r>
        <w:rPr>
          <w:bCs/>
          <w:b/>
        </w:rPr>
        <w:t xml:space="preserve">Scope 2 Emissions:</w:t>
      </w:r>
      <w:r>
        <w:t xml:space="preserve"> </w:t>
      </w:r>
      <w:r>
        <w:t xml:space="preserve">0.834 kg CO2e (From purchased electricity for manufacturing)</w:t>
      </w:r>
    </w:p>
    <w:p>
      <w:pPr>
        <w:numPr>
          <w:ilvl w:val="0"/>
          <w:numId w:val="1020"/>
        </w:numPr>
        <w:pStyle w:val="Compact"/>
      </w:pPr>
      <w:r>
        <w:rPr>
          <w:bCs/>
          <w:b/>
        </w:rPr>
        <w:t xml:space="preserve">Scope 3 Emissions:</w:t>
      </w:r>
      <w:r>
        <w:t xml:space="preserve"> </w:t>
      </w:r>
      <w:r>
        <w:t xml:space="preserve">6.665 (Materials) + 0.1472 (Transport ex-last mile) + 0.100 (Last-Mile) + 20.000 (Use Phase) - 2.666 (EoL Credit) = 24.2462 kg CO2e (Upstream and Downstream value chain)</w:t>
      </w:r>
    </w:p>
    <w:p>
      <w:pPr>
        <w:pStyle w:val="FirstParagraph"/>
      </w:pPr>
      <w:r>
        <w:rPr>
          <w:bCs/>
          <w:b/>
        </w:rPr>
        <w:t xml:space="preserve">Total PCF = Scope 1 + Scope 2 + Scope 3 = 0.000 + 0.834 + 24.2462 = 25.0802 kg CO2e</w:t>
      </w:r>
    </w:p>
    <w:bookmarkEnd w:id="43"/>
    <w:bookmarkStart w:id="44" w:name="lsr-update-application"/>
    <w:p>
      <w:pPr>
        <w:pStyle w:val="Heading3"/>
      </w:pPr>
      <w:r>
        <w:t xml:space="preserve">4.5. 2026 LSR Update Application</w:t>
      </w:r>
    </w:p>
    <w:p>
      <w:pPr>
        <w:pStyle w:val="FirstParagraph"/>
      </w:pPr>
      <w:r>
        <w:t xml:space="preserve">The Land Sector and Removals (LSR) Standard, effective January 1, 2027, provides accounting requirements for land-based emissions and CO₂ removals. While full guidance is anticipated in Q2 2026, this analysis acknowledges its relevance. For</w:t>
      </w:r>
      <w:r>
        <w:t xml:space="preserve"> </w:t>
      </w:r>
      <w:r>
        <w:rPr>
          <w:bCs/>
          <w:b/>
        </w:rPr>
        <w:t xml:space="preserve">spwehzwhwh</w:t>
      </w:r>
      <w:r>
        <w:t xml:space="preserve">, direct land use change or biogenic emissions within the operational boundary are not explicitly identified from the provided parameters. However, if any raw materials (e.g., bio-based plastics, paper) had significant land use impacts in their upstream value chain, or if the company engaged in carbon removal projects, the LSR Standard would guide their quantification and reporting. This analysis implicitly accounts for such emissions in the "Materials" section (Scope 3) if they are embedded in the emission factors of the purchased goods and services.</w:t>
      </w:r>
    </w:p>
    <w:bookmarkEnd w:id="44"/>
    <w:bookmarkStart w:id="45" w:name="scope-3-compliance-95-coverage"/>
    <w:p>
      <w:pPr>
        <w:pStyle w:val="Heading3"/>
      </w:pPr>
      <w:r>
        <w:t xml:space="preserve">4.6. Scope 3 Compliance (95% Coverage)</w:t>
      </w:r>
    </w:p>
    <w:p>
      <w:pPr>
        <w:pStyle w:val="FirstParagraph"/>
      </w:pPr>
      <w:r>
        <w:t xml:space="preserve">This analysis aims for comprehensive Scope 3 reporting, which is crucial as Scope 3 often constitutes the largest portion of a product\'s carbon footprint (70-90% for many companies). By including materials, manufacturing transport, downstream transport, use phase, and end-of-life, the report covers key categories within Scope 3. Achieving 95% coverage as per 2026 requirements necessitates robust data collection across all 15 Scope 3 categories where relevant. The illustrative calculations demonstrate an effort to quantify significant upstream and downstream emissions, forming a strong basis for high compliance.</w:t>
      </w:r>
    </w:p>
    <w:p>
      <w:r>
        <w:pict>
          <v:rect style="width:0;height:1.5pt" o:hralign="center" o:hrstd="t" o:hr="t"/>
        </w:pict>
      </w:r>
    </w:p>
    <w:bookmarkEnd w:id="45"/>
    <w:bookmarkEnd w:id="46"/>
    <w:bookmarkStart w:id="49" w:name="review-report"/>
    <w:p>
      <w:pPr>
        <w:pStyle w:val="Heading2"/>
      </w:pPr>
      <w:r>
        <w:t xml:space="preserve">5. Review &amp; Report</w:t>
      </w:r>
    </w:p>
    <w:bookmarkStart w:id="47" w:name="hotspots-analysis"/>
    <w:p>
      <w:pPr>
        <w:pStyle w:val="Heading3"/>
      </w:pPr>
      <w:r>
        <w:t xml:space="preserve">5.1. Hotspots Analysis</w:t>
      </w:r>
    </w:p>
    <w:p>
      <w:pPr>
        <w:pStyle w:val="FirstParagraph"/>
      </w:pPr>
      <w:r>
        <w:t xml:space="preserve">Based on the illustrative calculations, the primary emission hotspots for</w:t>
      </w:r>
      <w:r>
        <w:t xml:space="preserve"> </w:t>
      </w:r>
      <w:r>
        <w:rPr>
          <w:bCs/>
          <w:b/>
        </w:rPr>
        <w:t xml:space="preserve">spwehzwhwh</w:t>
      </w:r>
      <w:r>
        <w:t xml:space="preserve"> </w:t>
      </w:r>
      <w:r>
        <w:t xml:space="preserve">are:</w:t>
      </w:r>
    </w:p>
    <w:p>
      <w:pPr>
        <w:numPr>
          <w:ilvl w:val="0"/>
          <w:numId w:val="1021"/>
        </w:numPr>
        <w:pStyle w:val="Compact"/>
      </w:pPr>
      <w:r>
        <w:rPr>
          <w:bCs/>
          <w:b/>
        </w:rPr>
        <w:t xml:space="preserve">Use Phase (20.0 kg CO2e):</w:t>
      </w:r>
      <w:r>
        <w:t xml:space="preserve"> </w:t>
      </w:r>
      <w:r>
        <w:t xml:space="preserve">This is the most significant hotspot, accounting for the majority of the product\'s PCF. This highlights the importance of product energy efficiency and the carbon intensity of the electricity grid where the product is used.</w:t>
      </w:r>
    </w:p>
    <w:p>
      <w:pPr>
        <w:numPr>
          <w:ilvl w:val="0"/>
          <w:numId w:val="1021"/>
        </w:numPr>
        <w:pStyle w:val="Compact"/>
      </w:pPr>
      <w:r>
        <w:rPr>
          <w:bCs/>
          <w:b/>
        </w:rPr>
        <w:t xml:space="preserve">Raw Materials (6.665 kg CO2e):</w:t>
      </w:r>
      <w:r>
        <w:t xml:space="preserve"> </w:t>
      </w:r>
      <w:r>
        <w:t xml:space="preserve">The embodied emissions in purchased materials, particularly the illustrative "Circuit Board," represent a substantial portion of the footprint. Optimizing material selection and engaging with suppliers for lower-carbon alternatives are critical.</w:t>
      </w:r>
    </w:p>
    <w:p>
      <w:pPr>
        <w:numPr>
          <w:ilvl w:val="0"/>
          <w:numId w:val="1021"/>
        </w:numPr>
        <w:pStyle w:val="Compact"/>
      </w:pPr>
      <w:r>
        <w:rPr>
          <w:bCs/>
          <w:b/>
        </w:rPr>
        <w:t xml:space="preserve">End-of-Life (Net -2.666 kg CO2e):</w:t>
      </w:r>
      <w:r>
        <w:t xml:space="preserve"> </w:t>
      </w:r>
      <w:r>
        <w:t xml:space="preserve">While a credit is shown due to high recyclability and circular programs, if these programs were less effective or not in place, EoL could become a significant source of emissions.</w:t>
      </w:r>
    </w:p>
    <w:p>
      <w:pPr>
        <w:numPr>
          <w:ilvl w:val="0"/>
          <w:numId w:val="1021"/>
        </w:numPr>
        <w:pStyle w:val="Compact"/>
      </w:pPr>
      <w:r>
        <w:rPr>
          <w:bCs/>
          <w:b/>
        </w:rPr>
        <w:t xml:space="preserve">Manufacturing and Transport:</w:t>
      </w:r>
      <w:r>
        <w:t xml:space="preserve"> </w:t>
      </w:r>
      <w:r>
        <w:t xml:space="preserve">These stages, while important, contribute a smaller percentage to the overall PCF in this illustrative example compared to the use phase and raw materials.</w:t>
      </w:r>
    </w:p>
    <w:bookmarkEnd w:id="47"/>
    <w:bookmarkStart w:id="48" w:name="data-reliability-and-recommendations"/>
    <w:p>
      <w:pPr>
        <w:pStyle w:val="Heading3"/>
      </w:pPr>
      <w:r>
        <w:t xml:space="preserve">5.2. Data Reliability and Recommendations</w:t>
      </w:r>
    </w:p>
    <w:p>
      <w:pPr>
        <w:pStyle w:val="FirstParagraph"/>
      </w:pPr>
      <w:r>
        <w:t xml:space="preserve">The reliability of this PCF report is directly dependent on the accuracy and completeness of the underlying data. For this illustrative report, placeholder strings were interpreted with plausible estimates and general emission factors.</w:t>
      </w:r>
    </w:p>
    <w:p>
      <w:pPr>
        <w:pStyle w:val="BodyText"/>
      </w:pPr>
      <w:r>
        <w:t xml:space="preserve">To enhance the reliability of future PCF analyses for</w:t>
      </w:r>
      <w:r>
        <w:t xml:space="preserve"> </w:t>
      </w:r>
      <w:r>
        <w:rPr>
          <w:bCs/>
          <w:b/>
        </w:rPr>
        <w:t xml:space="preserve">spwehzwhwh</w:t>
      </w:r>
      <w:r>
        <w:t xml:space="preserve">,</w:t>
      </w:r>
      <w:r>
        <w:t xml:space="preserve"> </w:t>
      </w:r>
      <w:r>
        <w:rPr>
          <w:bCs/>
          <w:b/>
        </w:rPr>
        <w:t xml:space="preserve">vdusyxvfnk</w:t>
      </w:r>
      <w:r>
        <w:t xml:space="preserve"> </w:t>
      </w:r>
      <w:r>
        <w:t xml:space="preserve">should:</w:t>
      </w:r>
    </w:p>
    <w:p>
      <w:pPr>
        <w:numPr>
          <w:ilvl w:val="0"/>
          <w:numId w:val="1022"/>
        </w:numPr>
        <w:pStyle w:val="Compact"/>
      </w:pPr>
      <w:r>
        <w:t xml:space="preserve">Obtain specific, verifiable data for all parameters provided as placeholders.</w:t>
      </w:r>
    </w:p>
    <w:p>
      <w:pPr>
        <w:numPr>
          <w:ilvl w:val="0"/>
          <w:numId w:val="1022"/>
        </w:numPr>
        <w:pStyle w:val="Compact"/>
      </w:pPr>
      <w:r>
        <w:t xml:space="preserve">Engage with suppliers to gather primary data for material extraction, processing, and upstream transportation.</w:t>
      </w:r>
    </w:p>
    <w:p>
      <w:pPr>
        <w:numPr>
          <w:ilvl w:val="0"/>
          <w:numId w:val="1022"/>
        </w:numPr>
        <w:pStyle w:val="Compact"/>
      </w:pPr>
      <w:r>
        <w:t xml:space="preserve">Conduct a detailed energy audit of the manufacturing facility in China to refine Scope 1 and Scope 2 emissions, ensuring accurate reflection of renewable energy integration.</w:t>
      </w:r>
    </w:p>
    <w:p>
      <w:pPr>
        <w:numPr>
          <w:ilvl w:val="0"/>
          <w:numId w:val="1022"/>
        </w:numPr>
        <w:pStyle w:val="Compact"/>
      </w:pPr>
      <w:r>
        <w:t xml:space="preserve">Investigate specific regional electricity grid emission factors for the product\'s likely end-use geographies to improve the use phase calculation.</w:t>
      </w:r>
    </w:p>
    <w:p>
      <w:pPr>
        <w:numPr>
          <w:ilvl w:val="0"/>
          <w:numId w:val="1022"/>
        </w:numPr>
        <w:pStyle w:val="Compact"/>
      </w:pPr>
      <w:r>
        <w:t xml:space="preserve">Further develop and track the actual performance of circular/take-back programs to accurately quantify avoided emissions at end-of-life.</w:t>
      </w:r>
    </w:p>
    <w:p>
      <w:pPr>
        <w:numPr>
          <w:ilvl w:val="0"/>
          <w:numId w:val="1022"/>
        </w:numPr>
        <w:pStyle w:val="Compact"/>
      </w:pPr>
      <w:r>
        <w:t xml:space="preserve">Utilize recognized LCA databases (e.g., Ecoinvent, GaBi) for country- and sector-specific emission factors where primary data is unavailable.</w:t>
      </w:r>
    </w:p>
    <w:p>
      <w:pPr>
        <w:pStyle w:val="FirstParagraph"/>
      </w:pPr>
      <w:r>
        <w:t xml:space="preserve">By addressing these areas,</w:t>
      </w:r>
      <w:r>
        <w:t xml:space="preserve"> </w:t>
      </w:r>
      <w:r>
        <w:rPr>
          <w:bCs/>
          <w:b/>
        </w:rPr>
        <w:t xml:space="preserve">vdusyxvfnk</w:t>
      </w:r>
      <w:r>
        <w:t xml:space="preserve"> </w:t>
      </w:r>
      <w:r>
        <w:t xml:space="preserve">can achieve a more precise and robust PCF, supporting credible sustainability claims and effective emission reduction strategies.</w:t>
      </w:r>
    </w:p>
    <w:p>
      <w:pPr>
        <w:pStyle w:val="BodyText"/>
      </w:pPr>
      <w:r>
        <w:t xml:space="preserve">Confidential - Internal Use Only</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spwehzwhwh</dc:title>
  <dc:creator/>
  <dc:description>A high-detail Product Carbon Footprint (PCF) analysis report for spwehzwhwh, conducted by Senior Sustainability Consultant vlqkuyezkj for vdusyxvfnk, adhering to GHG Protocol standards and incorporating 2026 LSR updates.</dc:description>
  <dc:language>en</dc:language>
  <cp:keywords/>
  <dcterms:created xsi:type="dcterms:W3CDTF">2026-07-15T07:27:28Z</dcterms:created>
  <dcterms:modified xsi:type="dcterms:W3CDTF">2026-07-15T07:27:28Z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