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sovoqqypts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sovoqqypts</w:t>
      </w:r>
    </w:p>
    <w:p>
      <w:pPr>
        <w:pStyle w:val="BodyText"/>
      </w:pPr>
      <w:r>
        <w:rPr>
          <w:bCs/>
          <w:b/>
        </w:rPr>
        <w:t xml:space="preserve">Company Name:</w:t>
      </w:r>
      <w:r>
        <w:t xml:space="preserve"> </w:t>
      </w:r>
      <w:r>
        <w:t xml:space="preserve">vejegxpxji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ypketuhljt</w:t>
      </w:r>
    </w:p>
    <w:p>
      <w:pPr>
        <w:pStyle w:val="BodyText"/>
      </w:pPr>
      <w:r>
        <w:t xml:space="preserve">This report is generated based on available data and industry standards. Actual emissions may vary based on real-time operational data and specific supply chain configurations not fully captured by the provided parameters.</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27,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"sovoqqypts," manufactured by vejegxpxji. The analysis was conducted by ypketuhljt, a Senior Sustainability Consultant specializing in GHG Protocol. Adhering strictly to the GHG Protocol and incorporating the 2026 Land Sector and Removals (LSR) Standard update, this assessment quantifies greenhouse gas (GHG) emissions across the product\'s lifecycle. The total carbon footprint for one functional unit of sovoqqypts is calculated to be approximately 30.56 kg CO2e, with the use phase identified as the primary hotspot.</w:t>
      </w:r>
    </w:p>
    <w:p>
      <w:r>
        <w:pict>
          <v:rect style="width:0;height:1.5pt" o:hralign="center" o:hrstd="t" o:hr="t"/>
        </w:pict>
      </w:r>
    </w:p>
    <w:bookmarkEnd w:id="22"/>
    <w:bookmarkStart w:id="27" w:name="methodology"/>
    <w:p>
      <w:pPr>
        <w:pStyle w:val="Heading2"/>
      </w:pPr>
      <w:r>
        <w:t xml:space="preserve">2. Methodology</w:t>
      </w:r>
    </w:p>
    <w:p>
      <w:pPr>
        <w:pStyle w:val="FirstParagraph"/>
      </w:pPr>
      <w:r>
        <w:t xml:space="preserve">The Product Carbon Footprint (PCF) analysis for sovoqqypts follows the five-step methodology as outlined below, strictly adhering to the GHG Protocol standards for robust and transparent reporting.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sovoqqypts.</w:t>
      </w:r>
    </w:p>
    <w:p>
      <w:pPr>
        <w:numPr>
          <w:ilvl w:val="0"/>
          <w:numId w:val="1001"/>
        </w:numPr>
        <w:pStyle w:val="Compact"/>
      </w:pPr>
      <w:r>
        <w:rPr>
          <w:bCs/>
          <w:b/>
        </w:rPr>
        <w:t xml:space="preserve">System Boundary:</w:t>
      </w:r>
      <w:r>
        <w:t xml:space="preserve"> </w:t>
      </w:r>
      <w:r>
        <w:t xml:space="preserve">Cradle-to-grave, with a primary focus on the “factory_gate” for manufacturing, extending to include upstream (materials, inbound transport) and downstream (outbound transport, use phase, end-of-life) activities to provide a comprehensive view.</w:t>
      </w:r>
    </w:p>
    <w:p>
      <w:pPr>
        <w:numPr>
          <w:ilvl w:val="0"/>
          <w:numId w:val="1001"/>
        </w:numPr>
        <w:pStyle w:val="Compact"/>
      </w:pPr>
      <w:r>
        <w:rPr>
          <w:bCs/>
          <w:b/>
        </w:rPr>
        <w:t xml:space="preserve">Geographic Scope:</w:t>
      </w:r>
      <w:r>
        <w:t xml:space="preserve"> </w:t>
      </w:r>
      <w:r>
        <w:t xml:space="preserve">Final Production Country: China, with a Supply Chain Focus: Europe Focused for raw material sourcing.</w:t>
      </w:r>
    </w:p>
    <w:p>
      <w:pPr>
        <w:numPr>
          <w:ilvl w:val="0"/>
          <w:numId w:val="1001"/>
        </w:numPr>
        <w:pStyle w:val="Compact"/>
      </w:pPr>
      <w:r>
        <w:rPr>
          <w:bCs/>
          <w:b/>
        </w:rPr>
        <w:t xml:space="preserve">Accounting Standard:</w:t>
      </w:r>
      <w:r>
        <w:t xml:space="preserve"> </w:t>
      </w:r>
      <w:r>
        <w:t xml:space="preserve">GHG Protocol. Emissions are categorized into Scope 1 (direct emissions), Scope 2 (purchased energy emissions), and Scope 3 (value chain emissions), ensuring at least 95% coverage for Scope 3 reporting as per 2026 requirements.</w:t>
      </w:r>
    </w:p>
    <w:p>
      <w:pPr>
        <w:numPr>
          <w:ilvl w:val="0"/>
          <w:numId w:val="1001"/>
        </w:numPr>
        <w:pStyle w:val="Compact"/>
      </w:pPr>
      <w:r>
        <w:rPr>
          <w:bCs/>
          <w:b/>
        </w:rPr>
        <w:t xml:space="preserve">Allocation:</w:t>
      </w:r>
      <w:r>
        <w:t xml:space="preserve"> </w:t>
      </w:r>
      <w:r>
        <w:t xml:space="preserve">Mass-based allocation is applied where co-products or by-products are present, although not explicitly detailed in the provided parameters.</w:t>
      </w:r>
    </w:p>
    <w:bookmarkEnd w:id="23"/>
    <w:bookmarkStart w:id="24" w:name="map-lifecycle-lci-inventory-stages"/>
    <w:p>
      <w:pPr>
        <w:pStyle w:val="Heading3"/>
      </w:pPr>
      <w:r>
        <w:t xml:space="preserve">2.2. Map Lifecycle (LCI Inventory Stages)</w:t>
      </w:r>
    </w:p>
    <w:p>
      <w:pPr>
        <w:pStyle w:val="FirstParagraph"/>
      </w:pPr>
      <w:r>
        <w:t xml:space="preserve">The lifecycle of sovoqqypts has been mapped across the following stages:</w:t>
      </w:r>
    </w:p>
    <w:p>
      <w:pPr>
        <w:numPr>
          <w:ilvl w:val="0"/>
          <w:numId w:val="1002"/>
        </w:numPr>
        <w:pStyle w:val="Compact"/>
      </w:pPr>
      <w:r>
        <w:rPr>
          <w:bCs/>
          <w:b/>
        </w:rPr>
        <w:t xml:space="preserve">Materials Acquisition &amp; Pre-processing:</w:t>
      </w:r>
      <w:r>
        <w:t xml:space="preserve"> </w:t>
      </w:r>
      <w:r>
        <w:t xml:space="preserve">Extraction, processing, and refining of raw materials (BOM tteiyirf).</w:t>
      </w:r>
    </w:p>
    <w:p>
      <w:pPr>
        <w:numPr>
          <w:ilvl w:val="0"/>
          <w:numId w:val="1002"/>
        </w:numPr>
        <w:pStyle w:val="Compact"/>
      </w:pPr>
      <w:r>
        <w:rPr>
          <w:bCs/>
          <w:b/>
        </w:rPr>
        <w:t xml:space="preserve">Manufacturing:</w:t>
      </w:r>
      <w:r>
        <w:t xml:space="preserve"> </w:t>
      </w:r>
      <w:r>
        <w:t xml:space="preserve">Production and assembly processes at the vejegxpxji factory in China.</w:t>
      </w:r>
    </w:p>
    <w:p>
      <w:pPr>
        <w:numPr>
          <w:ilvl w:val="0"/>
          <w:numId w:val="1002"/>
        </w:numPr>
        <w:pStyle w:val="Compact"/>
      </w:pPr>
      <w:r>
        <w:rPr>
          <w:bCs/>
          <w:b/>
        </w:rPr>
        <w:t xml:space="preserve">Transportation:</w:t>
      </w:r>
      <w:r>
        <w:t xml:space="preserve"> </w:t>
      </w:r>
      <w:r>
        <w:t xml:space="preserve">Inbound logistics of materials to the factory and outbound logistics (last-mile delivery) of the finished product.</w:t>
      </w:r>
    </w:p>
    <w:p>
      <w:pPr>
        <w:numPr>
          <w:ilvl w:val="0"/>
          <w:numId w:val="1002"/>
        </w:numPr>
        <w:pStyle w:val="Compact"/>
      </w:pPr>
      <w:r>
        <w:rPr>
          <w:bCs/>
          <w:b/>
        </w:rPr>
        <w:t xml:space="preserve">Use Phase:</w:t>
      </w:r>
      <w:r>
        <w:t xml:space="preserve"> </w:t>
      </w:r>
      <w:r>
        <w:t xml:space="preserve">Energy consumption during the product\'s estimated lifespan.</w:t>
      </w:r>
    </w:p>
    <w:p>
      <w:pPr>
        <w:numPr>
          <w:ilvl w:val="0"/>
          <w:numId w:val="1002"/>
        </w:numPr>
        <w:pStyle w:val="Compact"/>
      </w:pPr>
      <w:r>
        <w:rPr>
          <w:bCs/>
          <w:b/>
        </w:rPr>
        <w:t xml:space="preserve">End-of-Life (EoL):</w:t>
      </w:r>
      <w:r>
        <w:t xml:space="preserve"> </w:t>
      </w:r>
      <w:r>
        <w:t xml:space="preserve">Disposal, recycling, and potential recovery scenarios.</w:t>
      </w:r>
    </w:p>
    <w:bookmarkEnd w:id="24"/>
    <w:bookmarkStart w:id="26" w:name="collect-data"/>
    <w:p>
      <w:pPr>
        <w:pStyle w:val="Heading3"/>
      </w:pPr>
      <w:r>
        <w:t xml:space="preserve">2.3. Collect Data</w:t>
      </w:r>
    </w:p>
    <w:p>
      <w:pPr>
        <w:pStyle w:val="FirstParagraph"/>
      </w:pPr>
      <w:r>
        <w:t xml:space="preserve">Both primary and secondary data points were collected and utilized for the analysis:</w:t>
      </w:r>
    </w:p>
    <w:p>
      <w:pPr>
        <w:numPr>
          <w:ilvl w:val="0"/>
          <w:numId w:val="1003"/>
        </w:numPr>
        <w:pStyle w:val="Compact"/>
      </w:pPr>
      <w:r>
        <w:rPr>
          <w:bCs/>
          <w:b/>
        </w:rPr>
        <w:t xml:space="preserve">Primary Data:</w:t>
      </w:r>
      <w:r>
        <w:t xml:space="preserve"> </w:t>
      </w:r>
      <w:r>
        <w:t xml:space="preserve">Provided parameters including Detailed Bill of Materials (tteiyirf), Transport Distance (zpjypdinvs), Renewable Energy Usage (qvwuugfrvh), Energy Intensity (olghdldjmo), Product Lifespan (rrytrhimkl), Energy Consumption in Use (spzyuyjxie), Recyclability Percentage (zvwjudhmgl), and details on Circular/Take-back Programs (pmvfkwfgtn).</w:t>
      </w:r>
    </w:p>
    <w:p>
      <w:pPr>
        <w:numPr>
          <w:ilvl w:val="0"/>
          <w:numId w:val="1003"/>
        </w:numPr>
        <w:pStyle w:val="Compact"/>
      </w:pPr>
      <w:r>
        <w:rPr>
          <w:bCs/>
          <w:b/>
        </w:rPr>
        <w:t xml:space="preserve">Secondary Data:</w:t>
      </w:r>
      <w:r>
        <w:t xml:space="preserve"> </w:t>
      </w:r>
      <w:r>
        <w:t xml:space="preserve">Industry-standard emission factors were sourced from reputable databases (e.g., Ecoinvent, DEFRA, Climatiq, IEA) for processes where primary data or specific emission factors were not provided within the BOM. These include factors for electricity grids, various transport modes, and end-of-life scenarios. Specific values used are cited in the calculations.</w:t>
      </w:r>
    </w:p>
    <w:bookmarkStart w:id="25" w:name="X2ede21afd6e532fa7f741137cd020d577d7ed6d"/>
    <w:p>
      <w:pPr>
        <w:pStyle w:val="Heading4"/>
      </w:pPr>
      <w:r>
        <w:t xml:space="preserve">Detailed Breakdown of Materials (from tteiyirf)</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Total Raw Material Mass:</w:t>
      </w:r>
      <w:r>
        <w:t xml:space="preserve"> </w:t>
      </w:r>
      <w:r>
        <w:t xml:space="preserve">0.95 kg (assuming 0.1 unit of circuit board ≈ 0.1 kg)</w:t>
      </w:r>
    </w:p>
    <w:p>
      <w:r>
        <w:pict>
          <v:rect style="width:0;height:1.5pt" o:hralign="center" o:hrstd="t" o:hr="t"/>
        </w:pict>
      </w:r>
    </w:p>
    <w:bookmarkEnd w:id="25"/>
    <w:bookmarkEnd w:id="26"/>
    <w:bookmarkEnd w:id="27"/>
    <w:bookmarkStart w:id="33" w:name="calculation-of-emissions"/>
    <w:p>
      <w:pPr>
        <w:pStyle w:val="Heading2"/>
      </w:pPr>
      <w:r>
        <w:t xml:space="preserve">3. Calculation of Emissions</w:t>
      </w:r>
    </w:p>
    <w:p>
      <w:pPr>
        <w:pStyle w:val="FirstParagraph"/>
      </w:pPr>
      <w:r>
        <w:t xml:space="preserve">Emissions are calculated for each lifecycle stage using the formula: Activity Data × Emission Factor = CO2e. All emissions are expressed in carbon dioxide equivalents (CO2e).</w:t>
      </w:r>
    </w:p>
    <w:bookmarkStart w:id="28" w:name="X0699354165d744f934c48c765b2b27584d10ef2"/>
    <w:p>
      <w:pPr>
        <w:pStyle w:val="Heading3"/>
      </w:pPr>
      <w:r>
        <w:t xml:space="preserve">3.1. Scope 3: Materials Acquisition &amp; Pre-processing (Upstream)</w:t>
      </w:r>
    </w:p>
    <w:p>
      <w:pPr>
        <w:pStyle w:val="FirstParagraph"/>
      </w:pPr>
      <w:r>
        <w:t xml:space="preserve">Emissions from the extraction and processing of raw materials are directly derived from the provided Detailed Bill of Materials (BOM).</w:t>
      </w:r>
    </w:p>
    <w:p>
      <w:pPr>
        <w:numPr>
          <w:ilvl w:val="0"/>
          <w:numId w:val="1004"/>
        </w:numPr>
        <w:pStyle w:val="Compact"/>
      </w:pPr>
      <w:r>
        <w:rPr>
          <w:bCs/>
          <w:b/>
        </w:rPr>
        <w:t xml:space="preserve">Total Emissions from Materials:</w:t>
      </w:r>
      <w:r>
        <w:t xml:space="preserve"> </w:t>
      </w:r>
      <w:r>
        <w:t xml:space="preserve">Sum of \'Total Carbon\' from BOM = 6.17 kg CO2e.</w:t>
      </w:r>
    </w:p>
    <w:bookmarkEnd w:id="28"/>
    <w:bookmarkStart w:id="29" w:name="manufacturing-emissions-scope-1-2"/>
    <w:p>
      <w:pPr>
        <w:pStyle w:val="Heading3"/>
      </w:pPr>
      <w:r>
        <w:t xml:space="preserve">3.2. Manufacturing Emissions (Scope 1 &amp; 2)</w:t>
      </w:r>
    </w:p>
    <w:p>
      <w:pPr>
        <w:pStyle w:val="FirstParagraph"/>
      </w:pPr>
      <w:r>
        <w:t xml:space="preserve">Emissions from the manufacturing processes primarily relate to purchased electricity (Scope 2). Direct (Scope 1) emissions from manufacturing operations are assumed to be negligible or covered by the energy intensity if not otherwise specified for direct fuel combustion.</w:t>
      </w:r>
    </w:p>
    <w:p>
      <w:pPr>
        <w:numPr>
          <w:ilvl w:val="0"/>
          <w:numId w:val="1005"/>
        </w:numPr>
        <w:pStyle w:val="Compact"/>
      </w:pPr>
      <w:r>
        <w:rPr>
          <w:bCs/>
          <w:b/>
        </w:rPr>
        <w:t xml:space="preserve">Energy Intensity (kWh/unit):</w:t>
      </w:r>
      <w:r>
        <w:t xml:space="preserve"> </w:t>
      </w:r>
      <w:r>
        <w:t xml:space="preserve">olghdldjmo (0.8 kWh/unit)</w:t>
      </w:r>
    </w:p>
    <w:p>
      <w:pPr>
        <w:numPr>
          <w:ilvl w:val="0"/>
          <w:numId w:val="1005"/>
        </w:numPr>
        <w:pStyle w:val="Compact"/>
      </w:pPr>
      <w:r>
        <w:rPr>
          <w:bCs/>
          <w:b/>
        </w:rPr>
        <w:t xml:space="preserve">Renewable Energy Usage:</w:t>
      </w:r>
      <w:r>
        <w:t xml:space="preserve"> </w:t>
      </w:r>
      <w:r>
        <w:t xml:space="preserve">qvwuugfrvh (50%)</w:t>
      </w:r>
    </w:p>
    <w:p>
      <w:pPr>
        <w:numPr>
          <w:ilvl w:val="0"/>
          <w:numId w:val="1005"/>
        </w:numPr>
        <w:pStyle w:val="Compact"/>
      </w:pPr>
      <w:r>
        <w:rPr>
          <w:bCs/>
          <w:b/>
        </w:rPr>
        <w:t xml:space="preserve">Non-Renewable Energy Consumption:</w:t>
      </w:r>
      <w:r>
        <w:t xml:space="preserve"> </w:t>
      </w:r>
      <w:r>
        <w:t xml:space="preserve">0.8 kWh/unit * (1 - 0.50) = 0.4 kWh/unit</w:t>
      </w:r>
    </w:p>
    <w:p>
      <w:pPr>
        <w:numPr>
          <w:ilvl w:val="0"/>
          <w:numId w:val="1005"/>
        </w:numPr>
        <w:pStyle w:val="Compact"/>
      </w:pPr>
      <w:r>
        <w:rPr>
          <w:bCs/>
          <w:b/>
        </w:rPr>
        <w:t xml:space="preserve">Electricity Grid Emission Factor (China):</w:t>
      </w:r>
      <w:r>
        <w:t xml:space="preserve"> </w:t>
      </w:r>
      <w:r>
        <w:t xml:space="preserve">0.556 kg CO2e/kWh</w:t>
      </w:r>
    </w:p>
    <w:p>
      <w:pPr>
        <w:numPr>
          <w:ilvl w:val="0"/>
          <w:numId w:val="1005"/>
        </w:numPr>
        <w:pStyle w:val="Compact"/>
      </w:pPr>
      <w:r>
        <w:rPr>
          <w:bCs/>
          <w:b/>
        </w:rPr>
        <w:t xml:space="preserve">Scope 2 Emissions:</w:t>
      </w:r>
      <w:r>
        <w:t xml:space="preserve"> </w:t>
      </w:r>
      <w:r>
        <w:t xml:space="preserve">0.4 kWh * 0.556 kg CO2e/kWh = 0.2224 kg CO2e.</w:t>
      </w:r>
    </w:p>
    <w:bookmarkEnd w:id="29"/>
    <w:bookmarkStart w:id="30" w:name="Xda918f4e36a5a7b2495312ff381b97c8aad1b00"/>
    <w:p>
      <w:pPr>
        <w:pStyle w:val="Heading3"/>
      </w:pPr>
      <w:r>
        <w:t xml:space="preserve">3.3. Scope 3: Transportation Emissions (Upstream &amp; Downstream)</w:t>
      </w:r>
    </w:p>
    <w:p>
      <w:pPr>
        <w:pStyle w:val="FirstParagraph"/>
      </w:pPr>
      <w:r>
        <w:t xml:space="preserve">Transportation emissions include inbound logistics for raw materials and outbound last-mile delivery of the finished product.</w:t>
      </w:r>
    </w:p>
    <w:p>
      <w:pPr>
        <w:numPr>
          <w:ilvl w:val="0"/>
          <w:numId w:val="1006"/>
        </w:numPr>
        <w:pStyle w:val="Compact"/>
      </w:pPr>
      <w:r>
        <w:rPr>
          <w:bCs/>
          <w:b/>
        </w:rPr>
        <w:t xml:space="preserve">Total Product Mass:</w:t>
      </w:r>
      <w:r>
        <w:t xml:space="preserve"> </w:t>
      </w:r>
      <w:r>
        <w:t xml:space="preserve">0.95 kg = 0.00095 tonnes</w:t>
      </w:r>
    </w:p>
    <w:p>
      <w:pPr>
        <w:numPr>
          <w:ilvl w:val="0"/>
          <w:numId w:val="1006"/>
        </w:numPr>
        <w:pStyle w:val="Compact"/>
      </w:pPr>
      <w:r>
        <w:rPr>
          <w:bCs/>
          <w:b/>
        </w:rPr>
        <w:t xml:space="preserve">Inbound Transport (Raw Materials to Factory in China):</w:t>
      </w:r>
    </w:p>
    <w:p>
      <w:pPr>
        <w:numPr>
          <w:ilvl w:val="1"/>
          <w:numId w:val="1007"/>
        </w:numPr>
        <w:pStyle w:val="Compact"/>
      </w:pPr>
      <w:r>
        <w:rPr>
          <w:bCs/>
          <w:b/>
        </w:rPr>
        <w:t xml:space="preserve">Transport Mode:</w:t>
      </w:r>
      <w:r>
        <w:t xml:space="preserve"> </w:t>
      </w:r>
      <w:r>
        <w:t xml:space="preserve">Select Mode (Ocean Freight - Container Ship)</w:t>
      </w:r>
    </w:p>
    <w:p>
      <w:pPr>
        <w:numPr>
          <w:ilvl w:val="1"/>
          <w:numId w:val="1007"/>
        </w:numPr>
        <w:pStyle w:val="Compact"/>
      </w:pPr>
      <w:r>
        <w:rPr>
          <w:bCs/>
          <w:b/>
        </w:rPr>
        <w:t xml:space="preserve">Transport Distance (Europe to China):</w:t>
      </w:r>
      <w:r>
        <w:t xml:space="preserve"> </w:t>
      </w:r>
      <w:r>
        <w:t xml:space="preserve">zpjypdinvs (1500 km)</w:t>
      </w:r>
    </w:p>
    <w:p>
      <w:pPr>
        <w:numPr>
          <w:ilvl w:val="1"/>
          <w:numId w:val="1007"/>
        </w:numPr>
        <w:pStyle w:val="Compact"/>
      </w:pPr>
      <w:r>
        <w:rPr>
          <w:bCs/>
          <w:b/>
        </w:rPr>
        <w:t xml:space="preserve">Ocean Freight Emission Factor:</w:t>
      </w:r>
      <w:r>
        <w:t xml:space="preserve"> </w:t>
      </w:r>
      <w:r>
        <w:t xml:space="preserve">0.016 kg CO2e/tonne-km</w:t>
      </w:r>
    </w:p>
    <w:p>
      <w:pPr>
        <w:numPr>
          <w:ilvl w:val="1"/>
          <w:numId w:val="1007"/>
        </w:numPr>
        <w:pStyle w:val="Compact"/>
      </w:pPr>
      <w:r>
        <w:rPr>
          <w:bCs/>
          <w:b/>
        </w:rPr>
        <w:t xml:space="preserve">Inbound Emissions:</w:t>
      </w:r>
      <w:r>
        <w:t xml:space="preserve"> </w:t>
      </w:r>
      <w:r>
        <w:t xml:space="preserve">0.00095 tonnes * 1500 km * 0.016 kg CO2e/tonne-km = 0.0228 kg CO2e.</w:t>
      </w:r>
    </w:p>
    <w:p>
      <w:pPr>
        <w:numPr>
          <w:ilvl w:val="0"/>
          <w:numId w:val="1006"/>
        </w:numPr>
        <w:pStyle w:val="Compact"/>
      </w:pPr>
      <w:r>
        <w:rPr>
          <w:bCs/>
          <w:b/>
        </w:rPr>
        <w:t xml:space="preserve">Outbound Transport (Last-Mile Delivery to Customer):</w:t>
      </w:r>
    </w:p>
    <w:p>
      <w:pPr>
        <w:numPr>
          <w:ilvl w:val="1"/>
          <w:numId w:val="1008"/>
        </w:numPr>
        <w:pStyle w:val="Compact"/>
      </w:pPr>
      <w:r>
        <w:rPr>
          <w:bCs/>
          <w:b/>
        </w:rPr>
        <w:t xml:space="preserve">Last-Mile Delivery Channel:</w:t>
      </w:r>
      <w:r>
        <w:t xml:space="preserve"> </w:t>
      </w:r>
      <w:r>
        <w:t xml:space="preserve">Delivery Type (Road Transport - Van)</w:t>
      </w:r>
    </w:p>
    <w:p>
      <w:pPr>
        <w:numPr>
          <w:ilvl w:val="1"/>
          <w:numId w:val="1008"/>
        </w:numPr>
        <w:pStyle w:val="Compact"/>
      </w:pPr>
      <w:r>
        <w:rPr>
          <w:bCs/>
          <w:b/>
        </w:rPr>
        <w:t xml:space="preserve">Assumed Last-Mile Distance:</w:t>
      </w:r>
      <w:r>
        <w:t xml:space="preserve"> </w:t>
      </w:r>
      <w:r>
        <w:t xml:space="preserve">50 km (illustrative)</w:t>
      </w:r>
    </w:p>
    <w:p>
      <w:pPr>
        <w:numPr>
          <w:ilvl w:val="1"/>
          <w:numId w:val="1008"/>
        </w:numPr>
        <w:pStyle w:val="Compact"/>
      </w:pPr>
      <w:r>
        <w:rPr>
          <w:bCs/>
          <w:b/>
        </w:rPr>
        <w:t xml:space="preserve">Road Transport Emission Factor (Van):</w:t>
      </w:r>
      <w:r>
        <w:t xml:space="preserve"> </w:t>
      </w:r>
      <w:r>
        <w:t xml:space="preserve">0.1 kg CO2e/tonne-km (average)</w:t>
      </w:r>
    </w:p>
    <w:p>
      <w:pPr>
        <w:numPr>
          <w:ilvl w:val="1"/>
          <w:numId w:val="1008"/>
        </w:numPr>
        <w:pStyle w:val="Compact"/>
      </w:pPr>
      <w:r>
        <w:rPr>
          <w:bCs/>
          <w:b/>
        </w:rPr>
        <w:t xml:space="preserve">Outbound Emissions:</w:t>
      </w:r>
      <w:r>
        <w:t xml:space="preserve"> </w:t>
      </w:r>
      <w:r>
        <w:t xml:space="preserve">0.00095 tonnes * 50 km * 0.1 kg CO2e/tonne-km = 0.00475 kg CO2e.</w:t>
      </w:r>
    </w:p>
    <w:p>
      <w:pPr>
        <w:numPr>
          <w:ilvl w:val="0"/>
          <w:numId w:val="1006"/>
        </w:numPr>
        <w:pStyle w:val="Compact"/>
      </w:pPr>
      <w:r>
        <w:rPr>
          <w:bCs/>
          <w:b/>
        </w:rPr>
        <w:t xml:space="preserve">Total Transportation Emissions:</w:t>
      </w:r>
      <w:r>
        <w:t xml:space="preserve"> </w:t>
      </w:r>
      <w:r>
        <w:t xml:space="preserve">0.0228 kg CO2e + 0.00475 kg CO2e = 0.02755 kg CO2e.</w:t>
      </w:r>
    </w:p>
    <w:bookmarkEnd w:id="30"/>
    <w:bookmarkStart w:id="31" w:name="scope-3-use-phase-emissions-downstream"/>
    <w:p>
      <w:pPr>
        <w:pStyle w:val="Heading3"/>
      </w:pPr>
      <w:r>
        <w:t xml:space="preserve">3.4. Scope 3: Use Phase Emissions (Downstream)</w:t>
      </w:r>
    </w:p>
    <w:p>
      <w:pPr>
        <w:pStyle w:val="FirstParagraph"/>
      </w:pPr>
      <w:r>
        <w:t xml:space="preserve">The use phase emissions are calculated based on the product\'s estimated lifespan and energy consumption during its operational period.</w:t>
      </w:r>
    </w:p>
    <w:p>
      <w:pPr>
        <w:numPr>
          <w:ilvl w:val="0"/>
          <w:numId w:val="1009"/>
        </w:numPr>
        <w:pStyle w:val="Compact"/>
      </w:pPr>
      <w:r>
        <w:rPr>
          <w:bCs/>
          <w:b/>
        </w:rPr>
        <w:t xml:space="preserve">Product Lifespan:</w:t>
      </w:r>
      <w:r>
        <w:t xml:space="preserve"> </w:t>
      </w:r>
      <w:r>
        <w:t xml:space="preserve">rrytrhimkl (5 years)</w:t>
      </w:r>
    </w:p>
    <w:p>
      <w:pPr>
        <w:numPr>
          <w:ilvl w:val="0"/>
          <w:numId w:val="1009"/>
        </w:numPr>
        <w:pStyle w:val="Compact"/>
      </w:pPr>
      <w:r>
        <w:rPr>
          <w:bCs/>
          <w:b/>
        </w:rPr>
        <w:t xml:space="preserve">Energy Consumption in Use:</w:t>
      </w:r>
      <w:r>
        <w:t xml:space="preserve"> </w:t>
      </w:r>
      <w:r>
        <w:t xml:space="preserve">spzyuyjxie (10 kWh/year)</w:t>
      </w:r>
    </w:p>
    <w:p>
      <w:pPr>
        <w:numPr>
          <w:ilvl w:val="0"/>
          <w:numId w:val="1009"/>
        </w:numPr>
        <w:pStyle w:val="Compact"/>
      </w:pPr>
      <w:r>
        <w:rPr>
          <w:bCs/>
          <w:b/>
        </w:rPr>
        <w:t xml:space="preserve">Total Energy Consumption:</w:t>
      </w:r>
      <w:r>
        <w:t xml:space="preserve"> </w:t>
      </w:r>
      <w:r>
        <w:t xml:space="preserve">10 kWh/year * 5 years = 50 kWh</w:t>
      </w:r>
    </w:p>
    <w:p>
      <w:pPr>
        <w:numPr>
          <w:ilvl w:val="0"/>
          <w:numId w:val="1009"/>
        </w:numPr>
        <w:pStyle w:val="Compact"/>
      </w:pPr>
      <w:r>
        <w:rPr>
          <w:bCs/>
          <w:b/>
        </w:rPr>
        <w:t xml:space="preserve">Assumed User Electricity Grid Emission Factor:</w:t>
      </w:r>
      <w:r>
        <w:t xml:space="preserve"> </w:t>
      </w:r>
      <w:r>
        <w:t xml:space="preserve">0.5 kg CO2e/kWh (generic average)</w:t>
      </w:r>
    </w:p>
    <w:p>
      <w:pPr>
        <w:numPr>
          <w:ilvl w:val="0"/>
          <w:numId w:val="1009"/>
        </w:numPr>
        <w:pStyle w:val="Compact"/>
      </w:pPr>
      <w:r>
        <w:rPr>
          <w:bCs/>
          <w:b/>
        </w:rPr>
        <w:t xml:space="preserve">Use Phase Emissions:</w:t>
      </w:r>
      <w:r>
        <w:t xml:space="preserve"> </w:t>
      </w:r>
      <w:r>
        <w:t xml:space="preserve">50 kWh * 0.5 kg CO2e/kWh = 25.0 kg CO2e.</w:t>
      </w:r>
    </w:p>
    <w:bookmarkEnd w:id="31"/>
    <w:bookmarkStart w:id="32" w:name="X255221c097389ce57f584814e4fd3f7959ae02d"/>
    <w:p>
      <w:pPr>
        <w:pStyle w:val="Heading3"/>
      </w:pPr>
      <w:r>
        <w:t xml:space="preserve">3.5. Scope 3: End-of-Life (EoL) Emissions (Downstream)</w:t>
      </w:r>
    </w:p>
    <w:p>
      <w:pPr>
        <w:pStyle w:val="FirstParagraph"/>
      </w:pPr>
      <w:r>
        <w:t xml:space="preserve">End-of-Life emissions consider both the disposal of non-recyclable parts and the avoided emissions (credits) from recycling.</w:t>
      </w:r>
    </w:p>
    <w:p>
      <w:pPr>
        <w:numPr>
          <w:ilvl w:val="0"/>
          <w:numId w:val="1010"/>
        </w:numPr>
        <w:pStyle w:val="Compact"/>
      </w:pPr>
      <w:r>
        <w:rPr>
          <w:bCs/>
          <w:b/>
        </w:rPr>
        <w:t xml:space="preserve">Total Product Mass:</w:t>
      </w:r>
      <w:r>
        <w:t xml:space="preserve"> </w:t>
      </w:r>
      <w:r>
        <w:t xml:space="preserve">0.95 kg</w:t>
      </w:r>
    </w:p>
    <w:p>
      <w:pPr>
        <w:numPr>
          <w:ilvl w:val="0"/>
          <w:numId w:val="1010"/>
        </w:numPr>
        <w:pStyle w:val="Compact"/>
      </w:pPr>
      <w:r>
        <w:rPr>
          <w:bCs/>
          <w:b/>
        </w:rPr>
        <w:t xml:space="preserve">Recyclability Percentage:</w:t>
      </w:r>
      <w:r>
        <w:t xml:space="preserve"> </w:t>
      </w:r>
      <w:r>
        <w:t xml:space="preserve">zvwjudhmgl (70%)</w:t>
      </w:r>
    </w:p>
    <w:p>
      <w:pPr>
        <w:numPr>
          <w:ilvl w:val="0"/>
          <w:numId w:val="1010"/>
        </w:numPr>
        <w:pStyle w:val="Compact"/>
      </w:pPr>
      <w:r>
        <w:rPr>
          <w:bCs/>
          <w:b/>
        </w:rPr>
        <w:t xml:space="preserve">Non-Recycled Portion:</w:t>
      </w:r>
      <w:r>
        <w:t xml:space="preserve"> </w:t>
      </w:r>
      <w:r>
        <w:t xml:space="preserve">0.95 kg * (1 - 0.70) = 0.285 kg</w:t>
      </w:r>
    </w:p>
    <w:p>
      <w:pPr>
        <w:numPr>
          <w:ilvl w:val="1"/>
          <w:numId w:val="1011"/>
        </w:numPr>
        <w:pStyle w:val="Compact"/>
      </w:pPr>
      <w:r>
        <w:rPr>
          <w:bCs/>
          <w:b/>
        </w:rPr>
        <w:t xml:space="preserve">Generic Landfill Emission Factor:</w:t>
      </w:r>
      <w:r>
        <w:t xml:space="preserve"> </w:t>
      </w:r>
      <w:r>
        <w:t xml:space="preserve">0.5 kg CO2e/kg (illustrative for mixed waste)</w:t>
      </w:r>
    </w:p>
    <w:p>
      <w:pPr>
        <w:numPr>
          <w:ilvl w:val="1"/>
          <w:numId w:val="1011"/>
        </w:numPr>
        <w:pStyle w:val="Compact"/>
      </w:pPr>
      <w:r>
        <w:rPr>
          <w:bCs/>
          <w:b/>
        </w:rPr>
        <w:t xml:space="preserve">Landfill Emissions:</w:t>
      </w:r>
      <w:r>
        <w:t xml:space="preserve"> </w:t>
      </w:r>
      <w:r>
        <w:t xml:space="preserve">0.285 kg * 0.5 kg CO2e/kg = 0.1425 kg CO2e.</w:t>
      </w:r>
    </w:p>
    <w:p>
      <w:pPr>
        <w:numPr>
          <w:ilvl w:val="0"/>
          <w:numId w:val="1010"/>
        </w:numPr>
        <w:pStyle w:val="Compact"/>
      </w:pPr>
      <w:r>
        <w:rPr>
          <w:bCs/>
          <w:b/>
        </w:rPr>
        <w:t xml:space="preserve">Recycled Portion (Avoided Emissions):</w:t>
      </w:r>
      <w:r>
        <w:t xml:space="preserve"> </w:t>
      </w:r>
      <w:r>
        <w:t xml:space="preserve">0.95 kg * 0.70 = 0.665 kg</w:t>
      </w:r>
    </w:p>
    <w:p>
      <w:pPr>
        <w:numPr>
          <w:ilvl w:val="1"/>
          <w:numId w:val="1012"/>
        </w:numPr>
        <w:pStyle w:val="Compact"/>
      </w:pPr>
      <w:r>
        <w:rPr>
          <w:bCs/>
          <w:b/>
        </w:rPr>
        <w:t xml:space="preserve">Average Avoided Emissions Factor (Recycling Credit):</w:t>
      </w:r>
      <w:r>
        <w:t xml:space="preserve"> </w:t>
      </w:r>
      <w:r>
        <w:t xml:space="preserve">-1.5 kg CO2e/kg (illustrative average based on potential savings from metals, plastics, paper)</w:t>
      </w:r>
    </w:p>
    <w:p>
      <w:pPr>
        <w:numPr>
          <w:ilvl w:val="1"/>
          <w:numId w:val="1012"/>
        </w:numPr>
        <w:pStyle w:val="Compact"/>
      </w:pPr>
      <w:r>
        <w:rPr>
          <w:bCs/>
          <w:b/>
        </w:rPr>
        <w:t xml:space="preserve">Avoided Emissions:</w:t>
      </w:r>
      <w:r>
        <w:t xml:space="preserve"> </w:t>
      </w:r>
      <w:r>
        <w:t xml:space="preserve">0.665 kg * -1.5 kg CO2e/kg = -0.9975 kg CO2e.</w:t>
      </w:r>
    </w:p>
    <w:p>
      <w:pPr>
        <w:numPr>
          <w:ilvl w:val="0"/>
          <w:numId w:val="1010"/>
        </w:numPr>
        <w:pStyle w:val="Compact"/>
      </w:pPr>
      <w:r>
        <w:rPr>
          <w:bCs/>
          <w:b/>
        </w:rPr>
        <w:t xml:space="preserve">Total End-of-Life Emissions:</w:t>
      </w:r>
      <w:r>
        <w:t xml:space="preserve"> </w:t>
      </w:r>
      <w:r>
        <w:t xml:space="preserve">0.1425 kg CO2e + (-0.9975 kg CO2e) = -0.855 kg CO2e.</w:t>
      </w:r>
    </w:p>
    <w:p>
      <w:pPr>
        <w:numPr>
          <w:ilvl w:val="0"/>
          <w:numId w:val="1010"/>
        </w:numPr>
        <w:pStyle w:val="Compact"/>
      </w:pPr>
      <w:r>
        <w:rPr>
          <w:bCs/>
          <w:b/>
        </w:rPr>
        <w:t xml:space="preserve">Circular/Take-back Programs:</w:t>
      </w:r>
      <w:r>
        <w:t xml:space="preserve"> </w:t>
      </w:r>
      <w:r>
        <w:t xml:space="preserve">pmvfkwfgtn (Product take-back and refurbishment program in pilot phase). While not directly quantified in this PCF, such programs contribute to circularity and further reduce overall lifecycle impacts by extending product lifespan and improving material recovery.</w:t>
      </w:r>
    </w:p>
    <w:p>
      <w:r>
        <w:pict>
          <v:rect style="width:0;height:1.5pt" o:hralign="center" o:hrstd="t" o:hr="t"/>
        </w:pict>
      </w:r>
    </w:p>
    <w:bookmarkEnd w:id="32"/>
    <w:bookmarkEnd w:id="33"/>
    <w:bookmarkStart w:id="37" w:name="results-and-hotspot-analysis"/>
    <w:p>
      <w:pPr>
        <w:pStyle w:val="Heading2"/>
      </w:pPr>
      <w:r>
        <w:t xml:space="preserve">4. Results and Hotspot Analysis</w:t>
      </w:r>
    </w:p>
    <w:bookmarkStart w:id="34" w:name="total-product-carbon-footprint-pcf"/>
    <w:p>
      <w:pPr>
        <w:pStyle w:val="Heading3"/>
      </w:pPr>
      <w:r>
        <w:t xml:space="preserve">4.1. Total Product Carbon Footprint (PCF)</w:t>
      </w:r>
    </w:p>
    <w:p>
      <w:pPr>
        <w:pStyle w:val="FirstParagraph"/>
      </w:pPr>
      <w:r>
        <w:t xml:space="preserve">The total Product Carbon Footprint for one functional unit of sovoqqypts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6.1700</w:t>
            </w:r>
          </w:p>
        </w:tc>
        <w:tc>
          <w:tcPr/>
          <w:p>
            <w:pPr>
              <w:pStyle w:val="Compact"/>
              <w:jc w:val="left"/>
            </w:pPr>
            <w:r>
              <w:t xml:space="preserve">20.19%</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0.2224</w:t>
            </w:r>
          </w:p>
        </w:tc>
        <w:tc>
          <w:tcPr/>
          <w:p>
            <w:pPr>
              <w:pStyle w:val="Compact"/>
              <w:jc w:val="left"/>
            </w:pPr>
            <w:r>
              <w:t xml:space="preserve">0.73%</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0.0276</w:t>
            </w:r>
          </w:p>
        </w:tc>
        <w:tc>
          <w:tcPr/>
          <w:p>
            <w:pPr>
              <w:pStyle w:val="Compact"/>
              <w:jc w:val="left"/>
            </w:pPr>
            <w:r>
              <w:t xml:space="preserve">0.09%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25.0000</w:t>
            </w:r>
          </w:p>
        </w:tc>
        <w:tc>
          <w:tcPr/>
          <w:p>
            <w:pPr>
              <w:pStyle w:val="Compact"/>
              <w:jc w:val="left"/>
            </w:pPr>
            <w:r>
              <w:t xml:space="preserve">81.79%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-0.8550</w:t>
            </w:r>
          </w:p>
        </w:tc>
        <w:tc>
          <w:tcPr/>
          <w:p>
            <w:pPr>
              <w:pStyle w:val="Compact"/>
              <w:jc w:val="left"/>
            </w:pPr>
            <w:r>
              <w:t xml:space="preserve">-2.79%</w:t>
            </w:r>
          </w:p>
        </w:tc>
      </w:tr>
      <w:tr>
        <w:tc>
          <w:tcPr>
            <w:gridSpan w:val="2"/>
          </w:tcPr>
          <w:p>
            <w:pPr>
              <w:pStyle w:val="Compact"/>
              <w:jc w:val="left"/>
            </w:pPr>
            <w:r>
              <w:t xml:space="preserve">TOTAL PRODUCT CARBON FOOTPRINT (per 1.0 unit)</w:t>
            </w:r>
          </w:p>
        </w:tc>
        <w:tc>
          <w:tcPr/>
          <w:p>
            <w:pPr>
              <w:pStyle w:val="Compact"/>
              <w:jc w:val="left"/>
            </w:pPr>
            <w:r>
              <w:t xml:space="preserve">30.5650</w:t>
            </w:r>
          </w:p>
        </w:tc>
        <w:tc>
          <w:tcPr/>
          <w:p>
            <w:pPr>
              <w:pStyle w:val="Compact"/>
              <w:jc w:val="left"/>
            </w:pPr>
            <w:r>
              <w:t xml:space="preserve">100.00%</w:t>
            </w:r>
          </w:p>
        </w:tc>
      </w:tr>
    </w:tbl>
    <w:p>
      <w:pPr>
        <w:pStyle w:val="BodyText"/>
      </w:pPr>
      <w:r>
        <w:t xml:space="preserve">The total Product Carbon Footprint for one unit of sovoqqypts is</w:t>
      </w:r>
      <w:r>
        <w:t xml:space="preserve"> </w:t>
      </w:r>
      <w:r>
        <w:rPr>
          <w:bCs/>
          <w:b/>
        </w:rPr>
        <w:t xml:space="preserve">30.565 kg CO2e</w:t>
      </w:r>
      <w:r>
        <w:t xml:space="preserve">.</w:t>
      </w:r>
    </w:p>
    <w:bookmarkEnd w:id="34"/>
    <w:bookmarkStart w:id="35" w:name="hotspot-identification"/>
    <w:p>
      <w:pPr>
        <w:pStyle w:val="Heading3"/>
      </w:pPr>
      <w:r>
        <w:t xml:space="preserve">4.2. Hotspot Identification</w:t>
      </w:r>
    </w:p>
    <w:p>
      <w:pPr>
        <w:pStyle w:val="FirstParagraph"/>
      </w:pPr>
      <w:r>
        <w:t xml:space="preserve">The analysis reveals the following hotspots across the lifecycle of sovoqqypts:</w:t>
      </w:r>
    </w:p>
    <w:p>
      <w:pPr>
        <w:numPr>
          <w:ilvl w:val="0"/>
          <w:numId w:val="1013"/>
        </w:numPr>
        <w:pStyle w:val="Compact"/>
      </w:pPr>
      <w:r>
        <w:rPr>
          <w:bCs/>
          <w:b/>
        </w:rPr>
        <w:t xml:space="preserve">Use Phase (81.79%):</w:t>
      </w:r>
      <w:r>
        <w:t xml:space="preserve"> </w:t>
      </w:r>
      <w:r>
        <w:t xml:space="preserve">The most significant contributor to the PCF is the energy consumption during the product\'s 5-year lifespan. This is typical for electronic products that require electricity during operation.</w:t>
      </w:r>
    </w:p>
    <w:p>
      <w:pPr>
        <w:numPr>
          <w:ilvl w:val="0"/>
          <w:numId w:val="1013"/>
        </w:numPr>
        <w:pStyle w:val="Compact"/>
      </w:pPr>
      <w:r>
        <w:rPr>
          <w:bCs/>
          <w:b/>
        </w:rPr>
        <w:t xml:space="preserve">Materials Acquisition &amp; Pre-processing (20.19%):</w:t>
      </w:r>
      <w:r>
        <w:t xml:space="preserve"> </w:t>
      </w:r>
      <w:r>
        <w:t xml:space="preserve">The production of raw materials, particularly aluminum and the circuit board as indicated by their higher emission factors in the BOM, represents the second largest impact.</w:t>
      </w:r>
    </w:p>
    <w:p>
      <w:pPr>
        <w:numPr>
          <w:ilvl w:val="0"/>
          <w:numId w:val="1013"/>
        </w:numPr>
        <w:pStyle w:val="Compact"/>
      </w:pPr>
      <w:r>
        <w:rPr>
          <w:bCs/>
          <w:b/>
        </w:rPr>
        <w:t xml:space="preserve">End-of-Life (-2.79%):</w:t>
      </w:r>
      <w:r>
        <w:t xml:space="preserve"> </w:t>
      </w:r>
      <w:r>
        <w:t xml:space="preserve">The high recyclability percentage leads to significant avoided emissions, resulting in a net negative contribution for this stage, indicating a positive impact from circularity efforts.</w:t>
      </w:r>
    </w:p>
    <w:p>
      <w:pPr>
        <w:numPr>
          <w:ilvl w:val="0"/>
          <w:numId w:val="1013"/>
        </w:numPr>
        <w:pStyle w:val="Compact"/>
      </w:pPr>
      <w:r>
        <w:rPr>
          <w:bCs/>
          <w:b/>
        </w:rPr>
        <w:t xml:space="preserve">Manufacturing (0.73%) and Transportation (0.09%):</w:t>
      </w:r>
      <w:r>
        <w:t xml:space="preserve"> </w:t>
      </w:r>
      <w:r>
        <w:t xml:space="preserve">These stages contribute a relatively small portion to the overall footprint, mainly due to the specific parameters (e.g., 50% renewable energy in manufacturing, relatively efficient transport modes over the given distances).</w:t>
      </w:r>
    </w:p>
    <w:bookmarkEnd w:id="35"/>
    <w:bookmarkStart w:id="36" w:name="reliability-and-limitations"/>
    <w:p>
      <w:pPr>
        <w:pStyle w:val="Heading3"/>
      </w:pPr>
      <w:r>
        <w:t xml:space="preserve">4.3. Reliability and Limitations</w:t>
      </w:r>
    </w:p>
    <w:p>
      <w:pPr>
        <w:pStyle w:val="FirstParagraph"/>
      </w:pPr>
      <w:r>
        <w:t xml:space="preserve">This report is based on the best available data at the time of calculation. The reliability is influenced by:</w:t>
      </w:r>
    </w:p>
    <w:p>
      <w:pPr>
        <w:numPr>
          <w:ilvl w:val="0"/>
          <w:numId w:val="1014"/>
        </w:numPr>
        <w:pStyle w:val="Compact"/>
      </w:pPr>
      <w:r>
        <w:rPr>
          <w:bCs/>
          <w:b/>
        </w:rPr>
        <w:t xml:space="preserve">Data Availability:</w:t>
      </w:r>
      <w:r>
        <w:t xml:space="preserve"> </w:t>
      </w:r>
      <w:r>
        <w:t xml:space="preserve">Primary data for company-specific operations (e.g., precise energy mix, actual transport routes for all suppliers) were supplemented by industry average secondary data where necessary.</w:t>
      </w:r>
    </w:p>
    <w:p>
      <w:pPr>
        <w:numPr>
          <w:ilvl w:val="0"/>
          <w:numId w:val="1014"/>
        </w:numPr>
        <w:pStyle w:val="Compact"/>
      </w:pPr>
      <w:r>
        <w:rPr>
          <w:bCs/>
          <w:b/>
        </w:rPr>
        <w:t xml:space="preserve">Emission Factors:</w:t>
      </w:r>
      <w:r>
        <w:t xml:space="preserve"> </w:t>
      </w:r>
      <w:r>
        <w:t xml:space="preserve">Generic emission factors for some processes (e.g., generic user electricity mix, average recycling credits) may not perfectly reflect specific regional or technological nuances.</w:t>
      </w:r>
    </w:p>
    <w:p>
      <w:pPr>
        <w:numPr>
          <w:ilvl w:val="0"/>
          <w:numId w:val="1014"/>
        </w:numPr>
        <w:pStyle w:val="Compact"/>
      </w:pPr>
      <w:r>
        <w:rPr>
          <w:bCs/>
          <w:b/>
        </w:rPr>
        <w:t xml:space="preserve">System Boundary:</w:t>
      </w:r>
      <w:r>
        <w:t xml:space="preserve"> </w:t>
      </w:r>
      <w:r>
        <w:t xml:space="preserve">While comprehensive, some indirect impacts (e.g., capital goods, business travel) typically excluded from product-level PCF under factory_gate boundary and focused scope, are not quantified.</w:t>
      </w:r>
    </w:p>
    <w:p>
      <w:pPr>
        <w:numPr>
          <w:ilvl w:val="0"/>
          <w:numId w:val="1014"/>
        </w:numPr>
        <w:pStyle w:val="Compact"/>
      </w:pPr>
      <w:r>
        <w:rPr>
          <w:bCs/>
          <w:b/>
        </w:rPr>
        <w:t xml:space="preserve">LSR Standard:</w:t>
      </w:r>
      <w:r>
        <w:t xml:space="preserve"> </w:t>
      </w:r>
      <w:r>
        <w:t xml:space="preserve">The Land Sector and Removals (LSR) Standard (2026 update) has been acknowledged. However, specific land-use change or carbon removal data directly attributable to the product\'s components or processes were not available for detailed quantification in this report, and would require more specific primary data on raw material origins and land management practices.</w:t>
      </w:r>
    </w:p>
    <w:p>
      <w:pPr>
        <w:numPr>
          <w:ilvl w:val="0"/>
          <w:numId w:val="1014"/>
        </w:numPr>
        <w:pStyle w:val="Compact"/>
      </w:pPr>
      <w:r>
        <w:rPr>
          <w:bCs/>
          <w:b/>
        </w:rPr>
        <w:t xml:space="preserve">Scope 3 Coverage:</w:t>
      </w:r>
      <w:r>
        <w:t xml:space="preserve"> </w:t>
      </w:r>
      <w:r>
        <w:t xml:space="preserve">The analysis aims for 95% Scope 3 coverage, addressing major upstream and downstream categories as per 2026 GHG Protocol requirements.</w:t>
      </w:r>
    </w:p>
    <w:p>
      <w:r>
        <w:pict>
          <v:rect style="width:0;height:1.5pt" o:hralign="center" o:hrstd="t" o:hr="t"/>
        </w:pict>
      </w:r>
    </w:p>
    <w:bookmarkEnd w:id="36"/>
    <w:bookmarkEnd w:id="37"/>
    <w:bookmarkStart w:id="38" w:name="recommendations-for-emission-reduction"/>
    <w:p>
      <w:pPr>
        <w:pStyle w:val="Heading2"/>
      </w:pPr>
      <w:r>
        <w:t xml:space="preserve">5. Recommendations for Emission Reduction</w:t>
      </w:r>
    </w:p>
    <w:p>
      <w:pPr>
        <w:pStyle w:val="FirstParagraph"/>
      </w:pPr>
      <w:r>
        <w:t xml:space="preserve">Based on the hotspot analysis, the following recommendations are provided to vejegxpxji for reducing the carbon footprint of sovoqqypts:</w:t>
      </w:r>
    </w:p>
    <w:p>
      <w:pPr>
        <w:numPr>
          <w:ilvl w:val="0"/>
          <w:numId w:val="1015"/>
        </w:numPr>
        <w:pStyle w:val="Compact"/>
      </w:pPr>
      <w:r>
        <w:rPr>
          <w:bCs/>
          <w:b/>
        </w:rPr>
        <w:t xml:space="preserve">Optimize Use Phase Efficiency:</w:t>
      </w:r>
    </w:p>
    <w:p>
      <w:pPr>
        <w:numPr>
          <w:ilvl w:val="1"/>
          <w:numId w:val="1016"/>
        </w:numPr>
        <w:pStyle w:val="Compact"/>
      </w:pPr>
      <w:r>
        <w:t xml:space="preserve">Invest in research and development to enhance the energy efficiency of sovoqqypts during its operational lifespan.</w:t>
      </w:r>
    </w:p>
    <w:p>
      <w:pPr>
        <w:numPr>
          <w:ilvl w:val="1"/>
          <w:numId w:val="1016"/>
        </w:numPr>
        <w:pStyle w:val="Compact"/>
      </w:pPr>
      <w:r>
        <w:t xml:space="preserve">Explore options for offering renewable energy subscriptions or offsets to end-users to mitigate their use-phase emissions.</w:t>
      </w:r>
    </w:p>
    <w:p>
      <w:pPr>
        <w:numPr>
          <w:ilvl w:val="1"/>
          <w:numId w:val="1016"/>
        </w:numPr>
        <w:pStyle w:val="Compact"/>
      </w:pPr>
      <w:r>
        <w:t xml:space="preserve">Educate consumers on energy-saving practices and product maintenance to extend lifespan and reduce energy consumption.</w:t>
      </w:r>
    </w:p>
    <w:p>
      <w:pPr>
        <w:numPr>
          <w:ilvl w:val="0"/>
          <w:numId w:val="1015"/>
        </w:numPr>
        <w:pStyle w:val="Compact"/>
      </w:pPr>
      <w:r>
        <w:rPr>
          <w:bCs/>
          <w:b/>
        </w:rPr>
        <w:t xml:space="preserve">Sustainable Material Sourcing:</w:t>
      </w:r>
    </w:p>
    <w:p>
      <w:pPr>
        <w:numPr>
          <w:ilvl w:val="1"/>
          <w:numId w:val="1017"/>
        </w:numPr>
        <w:pStyle w:val="Compact"/>
      </w:pPr>
      <w:r>
        <w:t xml:space="preserve">Engage with suppliers to identify lower-carbon alternatives for high-impact materials, particularly aluminum, plastics, and circuit board components.</w:t>
      </w:r>
    </w:p>
    <w:p>
      <w:pPr>
        <w:numPr>
          <w:ilvl w:val="1"/>
          <w:numId w:val="1017"/>
        </w:numPr>
        <w:pStyle w:val="Compact"/>
      </w:pPr>
      <w:r>
        <w:t xml:space="preserve">Increase the use of recycled content in materials beyond the current recyclability, potentially through certified post-consumer recycled (PCR) materials.</w:t>
      </w:r>
    </w:p>
    <w:p>
      <w:pPr>
        <w:numPr>
          <w:ilvl w:val="1"/>
          <w:numId w:val="1017"/>
        </w:numPr>
        <w:pStyle w:val="Compact"/>
      </w:pPr>
      <w:r>
        <w:t xml:space="preserve">Investigate and prefer suppliers who utilize renewable energy in their material processing.</w:t>
      </w:r>
    </w:p>
    <w:p>
      <w:pPr>
        <w:numPr>
          <w:ilvl w:val="0"/>
          <w:numId w:val="1015"/>
        </w:numPr>
        <w:pStyle w:val="Compact"/>
      </w:pPr>
      <w:r>
        <w:rPr>
          <w:bCs/>
          <w:b/>
        </w:rPr>
        <w:t xml:space="preserve">Enhance Circularity:</w:t>
      </w:r>
    </w:p>
    <w:p>
      <w:pPr>
        <w:numPr>
          <w:ilvl w:val="1"/>
          <w:numId w:val="1018"/>
        </w:numPr>
        <w:pStyle w:val="Compact"/>
      </w:pPr>
      <w:r>
        <w:t xml:space="preserve">Further develop and expand the "pmvfkwfgtn" (Product take-back and refurbishment program) to maximize material recovery and reuse, reducing the need for virgin materials and minimizing waste.</w:t>
      </w:r>
    </w:p>
    <w:p>
      <w:pPr>
        <w:numPr>
          <w:ilvl w:val="1"/>
          <w:numId w:val="1018"/>
        </w:numPr>
        <w:pStyle w:val="Compact"/>
      </w:pPr>
      <w:r>
        <w:t xml:space="preserve">Design for disassembly and modularity to facilitate repair, refurbishment, and component-level recycling.</w:t>
      </w:r>
    </w:p>
    <w:p>
      <w:pPr>
        <w:numPr>
          <w:ilvl w:val="0"/>
          <w:numId w:val="1015"/>
        </w:numPr>
        <w:pStyle w:val="Compact"/>
      </w:pPr>
      <w:r>
        <w:rPr>
          <w:bCs/>
          <w:b/>
        </w:rPr>
        <w:t xml:space="preserve">Supply Chain Optimization:</w:t>
      </w:r>
    </w:p>
    <w:p>
      <w:pPr>
        <w:numPr>
          <w:ilvl w:val="1"/>
          <w:numId w:val="1019"/>
        </w:numPr>
        <w:pStyle w:val="Compact"/>
      </w:pPr>
      <w:r>
        <w:t xml:space="preserve">Regularly assess the environmental performance of logistics partners and explore opportunities for shifting to lower-emission transport modes (e.g., rail) where feasible, especially for longer distances within Europe.</w:t>
      </w:r>
    </w:p>
    <w:p>
      <w:pPr>
        <w:numPr>
          <w:ilvl w:val="1"/>
          <w:numId w:val="1019"/>
        </w:numPr>
        <w:pStyle w:val="Compact"/>
      </w:pPr>
      <w:r>
        <w:t xml:space="preserve">Optimize loading efficiency and routing to reduce fuel consumption per tonne-km.</w:t>
      </w:r>
    </w:p>
    <w:p>
      <w:r>
        <w:pict>
          <v:rect style="width:0;height:1.5pt" o:hralign="center" o:hrstd="t" o:hr="t"/>
        </w:pict>
      </w:r>
    </w:p>
    <w:bookmarkEnd w:id="38"/>
    <w:bookmarkStart w:id="39" w:name="conclusion"/>
    <w:p>
      <w:pPr>
        <w:pStyle w:val="Heading2"/>
      </w:pPr>
      <w:r>
        <w:t xml:space="preserve">6. Conclusion</w:t>
      </w:r>
    </w:p>
    <w:p>
      <w:pPr>
        <w:pStyle w:val="FirstParagraph"/>
      </w:pPr>
      <w:r>
        <w:t xml:space="preserve">The PCF analysis of sovoqqypts highlights that while material impacts are notable, the use phase is the dominant contributor to its overall carbon footprint. Proactive measures focusing on energy efficiency, sustainable material choices, and expanding circular economy initiatives will be crucial for vejegxpxji to significantly reduce the environmental impact of sovoqqypts and align with broader sustainability goals.</w:t>
      </w:r>
    </w:p>
    <w:p>
      <w:pPr>
        <w:pStyle w:val="BodyText"/>
      </w:pPr>
      <w:r>
        <w:t xml:space="preserve">Confidential - Internal Use Only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sovoqqypts</dc:title>
  <dc:creator/>
  <dc:description>A high-detail Product Carbon Footprint (PCF) analysis report for sovoqqypts, conducted by Senior Sustainability Consultant ypketuhljt, adhering to GHG Protocol standards and 2026 LSR updates.</dc:description>
  <dc:language>en</dc:language>
  <cp:keywords/>
  <dcterms:created xsi:type="dcterms:W3CDTF">2026-05-30T11:32:13Z</dcterms:created>
  <dcterms:modified xsi:type="dcterms:W3CDTF">2026-05-30T11:32:13Z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