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souufloogf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ouufloogf"/>
    <w:p>
      <w:pPr>
        <w:pStyle w:val="Heading2"/>
      </w:pPr>
      <w:r>
        <w:t xml:space="preserve">For Product: souufloogf</w:t>
      </w:r>
    </w:p>
    <w:p>
      <w:pPr>
        <w:pStyle w:val="FirstParagraph"/>
      </w:pPr>
      <w:r>
        <w:rPr>
          <w:bCs/>
          <w:b/>
        </w:rPr>
        <w:t xml:space="preserve">Company Name:</w:t>
      </w:r>
      <w:r>
        <w:t xml:space="preserve"> </w:t>
      </w:r>
      <w:r>
        <w:t xml:space="preserve">ulsqfdunrg</w:t>
      </w:r>
    </w:p>
    <w:p>
      <w:pPr>
        <w:pStyle w:val="BodyText"/>
      </w:pPr>
      <w:r>
        <w:rPr>
          <w:bCs/>
          <w:b/>
        </w:rPr>
        <w:t xml:space="preserve">Senior Sustainability Consultant:</w:t>
      </w:r>
      <w:r>
        <w:t xml:space="preserve"> </w:t>
      </w:r>
      <w:r>
        <w:t xml:space="preserve">osefisnmxy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leveraging illustrative values where specific primary data was not provided for generic parameters. While every effort has been made to ensure accuracy within these constraints, precise calculations require specific, verified primary data for all parameters.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souufloogf | Company: ulsqfdunrg</w:t>
      </w:r>
    </w:p>
    <w:p>
      <w:pPr>
        <w:pStyle w:val="BodyText"/>
      </w:pPr>
      <w:r>
        <w:t xml:space="preserve">Generated Date: May 21,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\'souufloogf\', manufactured by \'ulsqfdunrg\'. Conducted by \'osefisnmxy\', a Senior Sustainability Consultant specializing in GHG Protocol, the analysis adheres strictly to the GHG Protocol accounting standards, including the 2026 Land Sector and Removals (LSR) Standard and ensuring at least 95% coverage for Scope 3 emissions. The system boundary for this assessment is \'factory_gate\', with an expanded analysis for the Use and End-of-Life phases as requested. The primary objective is to quantify greenhouse gas emissions (in CO2e) associated with the product\'s lifecycle and identify key emission hotspots, thereby informing strategic sustainability initiatives for ulsqfdunrg.</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This Product Carbon Footprint (PCF) analysis follows the five-step methodology recommended for GHG Protocol assessments: Define Scope, Map Lifecycle, Collect Data, Calculate Emissions, and Review &amp; Report.</w:t>
      </w:r>
    </w:p>
    <w:bookmarkStart w:id="24"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souufloogf</w:t>
      </w:r>
      <w:r>
        <w:t xml:space="preserve">.</w:t>
      </w:r>
    </w:p>
    <w:bookmarkEnd w:id="24"/>
    <w:bookmarkStart w:id="25" w:name="system-boundary"/>
    <w:p>
      <w:pPr>
        <w:pStyle w:val="Heading3"/>
      </w:pPr>
      <w:r>
        <w:t xml:space="preserve">1.2 System Boundary</w:t>
      </w:r>
    </w:p>
    <w:p>
      <w:pPr>
        <w:numPr>
          <w:ilvl w:val="0"/>
          <w:numId w:val="1002"/>
        </w:numPr>
        <w:pStyle w:val="Compact"/>
      </w:pPr>
      <w:r>
        <w:t xml:space="preserve">The primary system boundary for this assessment is</w:t>
      </w:r>
      <w:r>
        <w:t xml:space="preserve"> </w:t>
      </w:r>
      <w:r>
        <w:rPr>
          <w:bCs/>
          <w:b/>
        </w:rPr>
        <w:t xml:space="preserve">factory_gate (cradle-to-gate)</w:t>
      </w:r>
      <w:r>
        <w:t xml:space="preserve">. This encompasses all emissions from raw material extraction, processing, transportation to the manufacturing facility, and the production processes themselves.</w:t>
      </w:r>
    </w:p>
    <w:p>
      <w:pPr>
        <w:numPr>
          <w:ilvl w:val="0"/>
          <w:numId w:val="1002"/>
        </w:numPr>
        <w:pStyle w:val="Compact"/>
      </w:pPr>
      <w:r>
        <w:t xml:space="preserve">Additionally, per request, an expanded analysis includes indicative emissions from the</w:t>
      </w:r>
      <w:r>
        <w:t xml:space="preserve"> </w:t>
      </w:r>
      <w:r>
        <w:rPr>
          <w:bCs/>
          <w:b/>
        </w:rPr>
        <w:t xml:space="preserve">Use Phase</w:t>
      </w:r>
      <w:r>
        <w:t xml:space="preserve"> </w:t>
      </w:r>
      <w:r>
        <w:t xml:space="preserve">and</w:t>
      </w:r>
      <w:r>
        <w:t xml:space="preserve"> </w:t>
      </w:r>
      <w:r>
        <w:rPr>
          <w:bCs/>
          <w:b/>
        </w:rPr>
        <w:t xml:space="preserve">End-of-Life (EoL) scenarios</w:t>
      </w:r>
      <w:r>
        <w:t xml:space="preserve">, extending the scope beyond the strict factory_gate boundary to provide a more holistic view. These expanded phases are treated as Downstream Scope 3 emissions.</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indicates that while final assembly occurs in China, a significant portion of upstream material sourcing and processing is focused in Europe.</w:t>
      </w:r>
    </w:p>
    <w:bookmarkEnd w:id="26"/>
    <w:bookmarkStart w:id="27" w:name="accounting-standard"/>
    <w:p>
      <w:pPr>
        <w:pStyle w:val="Heading3"/>
      </w:pPr>
      <w:r>
        <w:t xml:space="preserve">1.4 Accounting Standard</w:t>
      </w:r>
    </w:p>
    <w:p>
      <w:pPr>
        <w:numPr>
          <w:ilvl w:val="0"/>
          <w:numId w:val="1004"/>
        </w:numPr>
        <w:pStyle w:val="Compact"/>
      </w:pPr>
      <w:r>
        <w:t xml:space="preserve">This analysis is performed in strict accordance with the</w:t>
      </w:r>
      <w:r>
        <w:t xml:space="preserve"> </w:t>
      </w:r>
      <w:r>
        <w:rPr>
          <w:bCs/>
          <w:b/>
        </w:rPr>
        <w:t xml:space="preserve">GHG Protocol</w:t>
      </w:r>
      <w:r>
        <w:t xml:space="preserve">, the most widely used international accounting tool for quantifying greenhouse gas emissions.</w:t>
      </w:r>
    </w:p>
    <w:p>
      <w:pPr>
        <w:numPr>
          <w:ilvl w:val="0"/>
          <w:numId w:val="1004"/>
        </w:numPr>
        <w:pStyle w:val="Compact"/>
      </w:pPr>
      <w:r>
        <w:t xml:space="preserve">Emissions are categorized into Scope 1 (direct emissions), Scope 2 (purchased energy emissions), and Scope 3 (all other indirect emissions across the value chain).</w:t>
      </w:r>
    </w:p>
    <w:p>
      <w:pPr>
        <w:numPr>
          <w:ilvl w:val="0"/>
          <w:numId w:val="1004"/>
        </w:numPr>
        <w:pStyle w:val="Compact"/>
      </w:pPr>
      <w:r>
        <w:t xml:space="preserve">The assessment also applies the principles of the</w:t>
      </w:r>
      <w:r>
        <w:t xml:space="preserve"> </w:t>
      </w:r>
      <w:r>
        <w:rPr>
          <w:bCs/>
          <w:b/>
        </w:rPr>
        <w:t xml:space="preserve">2026 Land Sector and Removals (LSR) Standard</w:t>
      </w:r>
      <w:r>
        <w:t xml:space="preserve"> </w:t>
      </w:r>
      <w:r>
        <w:t xml:space="preserve">for relevant land use and carbon removals.</w:t>
      </w:r>
    </w:p>
    <w:p>
      <w:pPr>
        <w:numPr>
          <w:ilvl w:val="0"/>
          <w:numId w:val="1004"/>
        </w:numPr>
        <w:pStyle w:val="Compact"/>
      </w:pPr>
      <w:r>
        <w:t xml:space="preserve">A minimum of</w:t>
      </w:r>
      <w:r>
        <w:t xml:space="preserve"> </w:t>
      </w:r>
      <w:r>
        <w:rPr>
          <w:bCs/>
          <w:b/>
        </w:rPr>
        <w:t xml:space="preserve">95% coverage for Scope 3 reporting</w:t>
      </w:r>
      <w:r>
        <w:t xml:space="preserve"> </w:t>
      </w:r>
      <w:r>
        <w:t xml:space="preserve">is ensured, in line with 2026 requirements, to provide a comprehensive view of value chain emissions.</w:t>
      </w:r>
    </w:p>
    <w:p>
      <w:r>
        <w:pict>
          <v:rect style="width:0;height:1.5pt" o:hralign="center" o:hrstd="t" o:hr="t"/>
        </w:pict>
      </w:r>
    </w:p>
    <w:bookmarkEnd w:id="27"/>
    <w:bookmarkEnd w:id="28"/>
    <w:bookmarkStart w:id="32" w:name="lifecycle-mapping-lci-inventory-stages"/>
    <w:p>
      <w:pPr>
        <w:pStyle w:val="Heading2"/>
      </w:pPr>
      <w:r>
        <w:t xml:space="preserve">2. Lifecycle Mapping (LCI Inventory Stages)</w:t>
      </w:r>
    </w:p>
    <w:p>
      <w:pPr>
        <w:pStyle w:val="FirstParagraph"/>
      </w:pPr>
      <w:r>
        <w:t xml:space="preserve">The lifecycle of \'souufloogf\' is mapped across several key stages to identify all relevant emission sources.</w:t>
      </w:r>
    </w:p>
    <w:bookmarkStart w:id="29" w:name="upstream-scope-3"/>
    <w:p>
      <w:pPr>
        <w:pStyle w:val="Heading3"/>
      </w:pPr>
      <w:r>
        <w:t xml:space="preserve">2.1 Upstream (Scope 3)</w:t>
      </w:r>
    </w:p>
    <w:p>
      <w:pPr>
        <w:numPr>
          <w:ilvl w:val="0"/>
          <w:numId w:val="1005"/>
        </w:numPr>
        <w:pStyle w:val="Compact"/>
      </w:pPr>
      <w:r>
        <w:rPr>
          <w:bCs/>
          <w:b/>
        </w:rPr>
        <w:t xml:space="preserve">Raw Material Acquisition &amp; Pre-processing:</w:t>
      </w:r>
      <w:r>
        <w:t xml:space="preserve"> </w:t>
      </w:r>
      <w:r>
        <w:t xml:space="preserve">Extraction, processing, and refining of materials (e.g., metals, plastics, silicon) as specified in the Detailed Bill of Materials (BOM).</w:t>
      </w:r>
    </w:p>
    <w:p>
      <w:pPr>
        <w:numPr>
          <w:ilvl w:val="0"/>
          <w:numId w:val="1005"/>
        </w:numPr>
        <w:pStyle w:val="Compact"/>
      </w:pPr>
      <w:r>
        <w:rPr>
          <w:bCs/>
          <w:b/>
        </w:rPr>
        <w:t xml:space="preserve">Inbound Logistics:</w:t>
      </w:r>
      <w:r>
        <w:t xml:space="preserve"> </w:t>
      </w:r>
      <w:r>
        <w:t xml:space="preserve">Transportation of raw materials and components from suppliers to the manufacturing facility in China.</w:t>
      </w:r>
    </w:p>
    <w:bookmarkEnd w:id="29"/>
    <w:bookmarkStart w:id="30" w:name="Xc1e9254779c06c9d6919bc2eaaf1881ce7a99f1"/>
    <w:p>
      <w:pPr>
        <w:pStyle w:val="Heading3"/>
      </w:pPr>
      <w:r>
        <w:t xml:space="preserve">2.2 Core Operations (Scope 1 &amp; 2, partially Scope 3)</w:t>
      </w:r>
    </w:p>
    <w:p>
      <w:pPr>
        <w:numPr>
          <w:ilvl w:val="0"/>
          <w:numId w:val="1006"/>
        </w:numPr>
        <w:pStyle w:val="Compact"/>
      </w:pPr>
      <w:r>
        <w:rPr>
          <w:bCs/>
          <w:b/>
        </w:rPr>
        <w:t xml:space="preserve">Manufacturing &amp; Production:</w:t>
      </w:r>
      <w:r>
        <w:t xml:space="preserve"> </w:t>
      </w:r>
      <w:r>
        <w:t xml:space="preserve">Emissions from energy consumption (electricity, heat), on-site fuel combustion, and process emissions during the assembly and manufacturing of \'souufloogf\' in China. This includes emissions related to machinery operation, heating/cooling, and other facility-related activities.</w:t>
      </w:r>
    </w:p>
    <w:bookmarkEnd w:id="30"/>
    <w:bookmarkStart w:id="31" w:name="X73b9581c7954356a63f28cecebe38cc26762d85"/>
    <w:p>
      <w:pPr>
        <w:pStyle w:val="Heading3"/>
      </w:pPr>
      <w:r>
        <w:t xml:space="preserve">2.3 Downstream (Scope 3 - Expanded Analysis beyond factory_gate)</w:t>
      </w:r>
    </w:p>
    <w:p>
      <w:pPr>
        <w:numPr>
          <w:ilvl w:val="0"/>
          <w:numId w:val="1007"/>
        </w:numPr>
        <w:pStyle w:val="Compact"/>
      </w:pPr>
      <w:r>
        <w:rPr>
          <w:bCs/>
          <w:b/>
        </w:rPr>
        <w:t xml:space="preserve">Transport &amp; Distribution (Outbound Logistics):</w:t>
      </w:r>
      <w:r>
        <w:t xml:space="preserve"> </w:t>
      </w:r>
      <w:r>
        <w:t xml:space="preserve">Transportation of the finished product from the factory gate to the customer.</w:t>
      </w:r>
    </w:p>
    <w:p>
      <w:pPr>
        <w:numPr>
          <w:ilvl w:val="0"/>
          <w:numId w:val="1007"/>
        </w:numPr>
        <w:pStyle w:val="Compact"/>
      </w:pPr>
      <w:r>
        <w:rPr>
          <w:bCs/>
          <w:b/>
        </w:rPr>
        <w:t xml:space="preserve">Use Phase:</w:t>
      </w:r>
      <w:r>
        <w:t xml:space="preserve"> </w:t>
      </w:r>
      <w:r>
        <w:t xml:space="preserve">Energy consumption and any other emissions occurring during the product\'s lifespan by the end-user.</w:t>
      </w:r>
    </w:p>
    <w:p>
      <w:pPr>
        <w:numPr>
          <w:ilvl w:val="0"/>
          <w:numId w:val="1007"/>
        </w:numPr>
        <w:pStyle w:val="Compact"/>
      </w:pPr>
      <w:r>
        <w:rPr>
          <w:bCs/>
          <w:b/>
        </w:rPr>
        <w:t xml:space="preserve">End-of-Life (EoL):</w:t>
      </w:r>
      <w:r>
        <w:t xml:space="preserve"> </w:t>
      </w:r>
      <w:r>
        <w:t xml:space="preserve">Emissions or credits associated with the disposal, recycling, or recovery of the product at the end of its useful life.</w:t>
      </w:r>
    </w:p>
    <w:p>
      <w:r>
        <w:pict>
          <v:rect style="width:0;height:1.5pt" o:hralign="center" o:hrstd="t" o:hr="t"/>
        </w:pict>
      </w:r>
    </w:p>
    <w:bookmarkEnd w:id="31"/>
    <w:bookmarkEnd w:id="32"/>
    <w:bookmarkStart w:id="36" w:name="data-collection"/>
    <w:p>
      <w:pPr>
        <w:pStyle w:val="Heading2"/>
      </w:pPr>
      <w:r>
        <w:t xml:space="preserve">3. Data Collection</w:t>
      </w:r>
    </w:p>
    <w:p>
      <w:pPr>
        <w:pStyle w:val="FirstParagraph"/>
      </w:pPr>
      <w:r>
        <w:t xml:space="preserve">Data collection involved gathering both primary data specific to ulsqfdunrg\'s operations and secondary data from reputable sources for emission factors.</w:t>
      </w:r>
    </w:p>
    <w:bookmarkStart w:id="33" w:name="X4807697babfea2f48a4ac87ebeef964a764adaf"/>
    <w:p>
      <w:pPr>
        <w:pStyle w:val="Heading3"/>
      </w:pPr>
      <w:r>
        <w:t xml:space="preserve">3.1 Primary Data Points (Illustrative based on provided parameters)</w:t>
      </w:r>
    </w:p>
    <w:p>
      <w:pPr>
        <w:numPr>
          <w:ilvl w:val="0"/>
          <w:numId w:val="1008"/>
        </w:numPr>
        <w:pStyle w:val="Compact"/>
      </w:pPr>
      <w:r>
        <w:rPr>
          <w:bCs/>
          <w:b/>
        </w:rPr>
        <w:t xml:space="preserve">Company Name:</w:t>
      </w:r>
      <w:r>
        <w:t xml:space="preserve"> </w:t>
      </w:r>
      <w:r>
        <w:t xml:space="preserve">ulsqfdunrg</w:t>
      </w:r>
    </w:p>
    <w:p>
      <w:pPr>
        <w:numPr>
          <w:ilvl w:val="0"/>
          <w:numId w:val="1008"/>
        </w:numPr>
        <w:pStyle w:val="Compact"/>
      </w:pPr>
      <w:r>
        <w:rPr>
          <w:bCs/>
          <w:b/>
        </w:rPr>
        <w:t xml:space="preserve">Senior Sustainability Consultant:</w:t>
      </w:r>
      <w:r>
        <w:t xml:space="preserve"> </w:t>
      </w:r>
      <w:r>
        <w:t xml:space="preserve">osefisnmxy</w:t>
      </w:r>
    </w:p>
    <w:p>
      <w:pPr>
        <w:numPr>
          <w:ilvl w:val="0"/>
          <w:numId w:val="1008"/>
        </w:numPr>
        <w:pStyle w:val="Compact"/>
      </w:pPr>
      <w:r>
        <w:rPr>
          <w:bCs/>
          <w:b/>
        </w:rPr>
        <w:t xml:space="preserve">Detailed Bill of Materials (BOM):</w:t>
      </w:r>
      <w:r>
        <w:t xml:space="preserve"> </w:t>
      </w:r>
      <w:r>
        <w:t xml:space="preserve">Data for materials used in \'souufloogf\'.</w:t>
      </w:r>
    </w:p>
    <w:p>
      <w:pPr>
        <w:numPr>
          <w:ilvl w:val="0"/>
          <w:numId w:val="1008"/>
        </w:numPr>
        <w:pStyle w:val="Compact"/>
      </w:pPr>
      <w:r>
        <w:rPr>
          <w:bCs/>
          <w:b/>
        </w:rPr>
        <w:t xml:space="preserve">Transport Mode (Inbound/Outbound):</w:t>
      </w:r>
      <w:r>
        <w:t xml:space="preserve"> </w:t>
      </w:r>
      <w:r>
        <w:t xml:space="preserve">Select Mode (e.g., Road - Heavy Duty Truck)</w:t>
      </w:r>
    </w:p>
    <w:p>
      <w:pPr>
        <w:numPr>
          <w:ilvl w:val="0"/>
          <w:numId w:val="1008"/>
        </w:numPr>
        <w:pStyle w:val="Compact"/>
      </w:pPr>
      <w:r>
        <w:rPr>
          <w:bCs/>
          <w:b/>
        </w:rPr>
        <w:t xml:space="preserve">Transport Distance (Illustrative):</w:t>
      </w:r>
      <w:r>
        <w:t xml:space="preserve"> </w:t>
      </w:r>
      <w:r>
        <w:t xml:space="preserve">usfqzmmivj (e.g., 1,500 km for raw materials, 8,000 km for finished product)</w:t>
      </w:r>
    </w:p>
    <w:p>
      <w:pPr>
        <w:numPr>
          <w:ilvl w:val="0"/>
          <w:numId w:val="1008"/>
        </w:numPr>
        <w:pStyle w:val="Compact"/>
      </w:pPr>
      <w:r>
        <w:rPr>
          <w:bCs/>
          <w:b/>
        </w:rPr>
        <w:t xml:space="preserve">Last-Mile Delivery Channel (Illustrative):</w:t>
      </w:r>
      <w:r>
        <w:t xml:space="preserve"> </w:t>
      </w:r>
      <w:r>
        <w:t xml:space="preserve">Delivery Type (e.g., Light Commercial Van)</w:t>
      </w:r>
    </w:p>
    <w:p>
      <w:pPr>
        <w:numPr>
          <w:ilvl w:val="0"/>
          <w:numId w:val="1008"/>
        </w:numPr>
        <w:pStyle w:val="Compact"/>
      </w:pPr>
      <w:r>
        <w:rPr>
          <w:bCs/>
          <w:b/>
        </w:rPr>
        <w:t xml:space="preserve">Renewable Energy Usage (Production):</w:t>
      </w:r>
      <w:r>
        <w:t xml:space="preserve"> </w:t>
      </w:r>
      <w:r>
        <w:t xml:space="preserve">rigrhwufqy (e.g., 75% renewable electricity)</w:t>
      </w:r>
    </w:p>
    <w:p>
      <w:pPr>
        <w:numPr>
          <w:ilvl w:val="0"/>
          <w:numId w:val="1008"/>
        </w:numPr>
        <w:pStyle w:val="Compact"/>
      </w:pPr>
      <w:r>
        <w:rPr>
          <w:bCs/>
          <w:b/>
        </w:rPr>
        <w:t xml:space="preserve">Energy Intensity (Production):</w:t>
      </w:r>
      <w:r>
        <w:t xml:space="preserve"> </w:t>
      </w:r>
      <w:r>
        <w:t xml:space="preserve">rpztgursso (e.g., 0.8 kWh/unit)</w:t>
      </w:r>
    </w:p>
    <w:p>
      <w:pPr>
        <w:numPr>
          <w:ilvl w:val="0"/>
          <w:numId w:val="1008"/>
        </w:numPr>
        <w:pStyle w:val="Compact"/>
      </w:pPr>
      <w:r>
        <w:rPr>
          <w:bCs/>
          <w:b/>
        </w:rPr>
        <w:t xml:space="preserve">Product Lifespan:</w:t>
      </w:r>
      <w:r>
        <w:t xml:space="preserve"> </w:t>
      </w:r>
      <w:r>
        <w:t xml:space="preserve">uojgvhqhhi (e.g., 5 years)</w:t>
      </w:r>
    </w:p>
    <w:p>
      <w:pPr>
        <w:numPr>
          <w:ilvl w:val="0"/>
          <w:numId w:val="1008"/>
        </w:numPr>
        <w:pStyle w:val="Compact"/>
      </w:pPr>
      <w:r>
        <w:rPr>
          <w:bCs/>
          <w:b/>
        </w:rPr>
        <w:t xml:space="preserve">Energy Consumption in Use:</w:t>
      </w:r>
      <w:r>
        <w:t xml:space="preserve"> </w:t>
      </w:r>
      <w:r>
        <w:t xml:space="preserve">zzettpkxvl (e.g., 20 kWh/year)</w:t>
      </w:r>
    </w:p>
    <w:p>
      <w:pPr>
        <w:numPr>
          <w:ilvl w:val="0"/>
          <w:numId w:val="1008"/>
        </w:numPr>
        <w:pStyle w:val="Compact"/>
      </w:pPr>
      <w:r>
        <w:rPr>
          <w:bCs/>
          <w:b/>
        </w:rPr>
        <w:t xml:space="preserve">Recyclability Percentage (EoL):</w:t>
      </w:r>
      <w:r>
        <w:t xml:space="preserve"> </w:t>
      </w:r>
      <w:r>
        <w:t xml:space="preserve">xvdkztuhnp (e.g., 80%)</w:t>
      </w:r>
    </w:p>
    <w:p>
      <w:pPr>
        <w:numPr>
          <w:ilvl w:val="0"/>
          <w:numId w:val="1008"/>
        </w:numPr>
        <w:pStyle w:val="Compact"/>
      </w:pPr>
      <w:r>
        <w:rPr>
          <w:bCs/>
          <w:b/>
        </w:rPr>
        <w:t xml:space="preserve">Circular/Take-back Programs (EoL):</w:t>
      </w:r>
      <w:r>
        <w:t xml:space="preserve"> </w:t>
      </w:r>
      <w:r>
        <w:t xml:space="preserve">ngqljupdqt (e.g., Yes, active take-back scheme)</w:t>
      </w:r>
    </w:p>
    <w:bookmarkEnd w:id="33"/>
    <w:bookmarkStart w:id="34" w:name="X05250c9805aabaa10babad252f96cdd2ebc0cc7"/>
    <w:p>
      <w:pPr>
        <w:pStyle w:val="Heading3"/>
      </w:pPr>
      <w:r>
        <w:t xml:space="preserve">3.2 Detailed Bill of Materials (BOM) for souufloogf</w:t>
      </w:r>
    </w:p>
    <w:p>
      <w:pPr>
        <w:pStyle w:val="FirstParagraph"/>
      </w:pPr>
      <w:r>
        <w:t xml:space="preserve">The following table provides a detailed breakdown of materials used in \'souufloogf\', including their categories, associated processes, quantities, and their total carbon impact based on provided data. Note that \'Emission Factor\' and \'Total Carbon\' values are directly from the provided BOM data string for each item and are used as inputs for material impact calculation.</w:t>
      </w:r>
    </w:p>
    <w:p>
      <w:pPr>
        <w:pStyle w:val="BodyText"/>
      </w:pPr>
      <w:r>
        <w:rPr>
          <w:iCs/>
          <w:i/>
        </w:rPr>
        <w:t xml:space="preserve">Note: The BOM data string "tvykrxoy" is a placeholder in the prompt. For this report, an illustrative BOM table is generated based on the specified format: ID, Description, Category, Process, Qty, Unit, Emission Factor (kgCO2e/unit of material), Total Carbon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Secondary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w:t>
            </w:r>
          </w:p>
        </w:tc>
        <w:tc>
          <w:tcPr/>
          <w:p>
            <w:pPr>
              <w:pStyle w:val="Compact"/>
              <w:jc w:val="left"/>
            </w:pPr>
            <w:r>
              <w:t xml:space="preserve">0.15</w:t>
            </w:r>
          </w:p>
        </w:tc>
        <w:tc>
          <w:tcPr/>
          <w:p>
            <w:pPr>
              <w:pStyle w:val="Compact"/>
              <w:jc w:val="left"/>
            </w:pPr>
            <w:r>
              <w:t xml:space="preserve">kg</w:t>
            </w:r>
          </w:p>
        </w:tc>
        <w:tc>
          <w:tcPr/>
          <w:p>
            <w:pPr>
              <w:pStyle w:val="Compact"/>
              <w:jc w:val="left"/>
            </w:pPr>
            <w:r>
              <w:t xml:space="preserve">0.4</w:t>
            </w:r>
          </w:p>
        </w:tc>
        <w:tc>
          <w:tcPr/>
          <w:p>
            <w:pPr>
              <w:pStyle w:val="Compact"/>
              <w:jc w:val="left"/>
            </w:pPr>
            <w:r>
              <w:t xml:space="preserve">0.06</w:t>
            </w:r>
          </w:p>
        </w:tc>
      </w:tr>
      <w:tr>
        <w:tc>
          <w:tcPr>
            <w:gridSpan w:val="7"/>
          </w:tcPr>
          <w:p>
            <w:pPr>
              <w:pStyle w:val="Compact"/>
              <w:jc w:val="right"/>
            </w:pPr>
            <w:r>
              <w:rPr>
                <w:bCs/>
                <w:b/>
              </w:rPr>
              <w:t xml:space="preserve">Total Material Carbon Impact:</w:t>
            </w:r>
          </w:p>
        </w:tc>
        <w:tc>
          <w:tcPr/>
          <w:p>
            <w:pPr>
              <w:pStyle w:val="Compact"/>
              <w:jc w:val="left"/>
            </w:pPr>
            <w:r>
              <w:rPr>
                <w:bCs/>
                <w:b/>
              </w:rPr>
              <w:t xml:space="preserve">5.06</w:t>
            </w:r>
          </w:p>
        </w:tc>
      </w:tr>
    </w:tbl>
    <w:bookmarkEnd w:id="34"/>
    <w:bookmarkStart w:id="35" w:name="X0dc515c92b44c0db47ea21f4b72f6f0bf4ce332"/>
    <w:p>
      <w:pPr>
        <w:pStyle w:val="Heading3"/>
      </w:pPr>
      <w:r>
        <w:t xml:space="preserve">3.3 Secondary Data (Illustrative Emission Factors)</w:t>
      </w:r>
    </w:p>
    <w:p>
      <w:pPr>
        <w:pStyle w:val="FirstParagraph"/>
      </w:pPr>
      <w:r>
        <w:t xml:space="preserve">Industry-standard emission factors from databases such as Ecoinvent and DEFRA are utilized for secondary data where specific primary data is unavailable. The following are illustrative factors used for demonstration:</w:t>
      </w:r>
    </w:p>
    <w:p>
      <w:pPr>
        <w:numPr>
          <w:ilvl w:val="0"/>
          <w:numId w:val="1009"/>
        </w:numPr>
        <w:pStyle w:val="Compact"/>
      </w:pPr>
      <w:r>
        <w:rPr>
          <w:bCs/>
          <w:b/>
        </w:rPr>
        <w:t xml:space="preserve">Electricity Grid Mix (China):</w:t>
      </w:r>
      <w:r>
        <w:t xml:space="preserve"> </w:t>
      </w:r>
      <w:r>
        <w:t xml:space="preserve">Approx. 0.60 kgCO2e/kWh</w:t>
      </w:r>
    </w:p>
    <w:p>
      <w:pPr>
        <w:numPr>
          <w:ilvl w:val="0"/>
          <w:numId w:val="1009"/>
        </w:numPr>
        <w:pStyle w:val="Compact"/>
      </w:pPr>
      <w:r>
        <w:rPr>
          <w:bCs/>
          <w:b/>
        </w:rPr>
        <w:t xml:space="preserve">Renewable Electricity (e.g., Wind/Solar):</w:t>
      </w:r>
      <w:r>
        <w:t xml:space="preserve"> </w:t>
      </w:r>
      <w:r>
        <w:t xml:space="preserve">Approx. 0.01 kgCO2e/kWh (residual emissions)</w:t>
      </w:r>
    </w:p>
    <w:p>
      <w:pPr>
        <w:numPr>
          <w:ilvl w:val="0"/>
          <w:numId w:val="1009"/>
        </w:numPr>
        <w:pStyle w:val="Compact"/>
      </w:pPr>
      <w:r>
        <w:rPr>
          <w:bCs/>
          <w:b/>
        </w:rPr>
        <w:t xml:space="preserve">Road Transport (Heavy Duty Truck, Euro VI):</w:t>
      </w:r>
      <w:r>
        <w:t xml:space="preserve"> </w:t>
      </w:r>
      <w:r>
        <w:t xml:space="preserve">Approx. 0.09 kgCO2e/tkm (tonne-kilometer)</w:t>
      </w:r>
    </w:p>
    <w:p>
      <w:pPr>
        <w:numPr>
          <w:ilvl w:val="0"/>
          <w:numId w:val="1009"/>
        </w:numPr>
        <w:pStyle w:val="Compact"/>
      </w:pPr>
      <w:r>
        <w:rPr>
          <w:bCs/>
          <w:b/>
        </w:rPr>
        <w:t xml:space="preserve">Road Transport (Light Commercial Van):</w:t>
      </w:r>
      <w:r>
        <w:t xml:space="preserve"> </w:t>
      </w:r>
      <w:r>
        <w:t xml:space="preserve">Approx. 0.25 kgCO2e/km (per vehicle-km)</w:t>
      </w:r>
    </w:p>
    <w:p>
      <w:pPr>
        <w:numPr>
          <w:ilvl w:val="0"/>
          <w:numId w:val="1009"/>
        </w:numPr>
        <w:pStyle w:val="Compact"/>
      </w:pPr>
      <w:r>
        <w:rPr>
          <w:bCs/>
          <w:b/>
        </w:rPr>
        <w:t xml:space="preserve">Waste to Landfill (Mixed):</w:t>
      </w:r>
      <w:r>
        <w:t xml:space="preserve"> </w:t>
      </w:r>
      <w:r>
        <w:t xml:space="preserve">Approx. 0.5 kgCO2e/kg</w:t>
      </w:r>
    </w:p>
    <w:p>
      <w:pPr>
        <w:numPr>
          <w:ilvl w:val="0"/>
          <w:numId w:val="1009"/>
        </w:numPr>
        <w:pStyle w:val="Compact"/>
      </w:pPr>
      <w:r>
        <w:rPr>
          <w:bCs/>
          <w:b/>
        </w:rPr>
        <w:t xml:space="preserve">Recycling (Plastic/Metal, net avoided):</w:t>
      </w:r>
      <w:r>
        <w:t xml:space="preserve"> </w:t>
      </w:r>
      <w:r>
        <w:t xml:space="preserve">Credits vary, e.g., -1.0 to -3.0 kgCO2e/kg (illustrative avoidance)</w:t>
      </w:r>
    </w:p>
    <w:p>
      <w:r>
        <w:pict>
          <v:rect style="width:0;height:1.5pt" o:hralign="center" o:hrstd="t" o:hr="t"/>
        </w:pict>
      </w:r>
    </w:p>
    <w:bookmarkEnd w:id="35"/>
    <w:bookmarkEnd w:id="36"/>
    <w:bookmarkStart w:id="44" w:name="emission-calculation"/>
    <w:p>
      <w:pPr>
        <w:pStyle w:val="Heading2"/>
      </w:pPr>
      <w:r>
        <w:t xml:space="preserve">4. Emission Calculation</w:t>
      </w:r>
    </w:p>
    <w:p>
      <w:pPr>
        <w:pStyle w:val="FirstParagraph"/>
      </w:pPr>
      <w:r>
        <w:t xml:space="preserve">Emissions are calculated by multiplying activity data by relevant emission factors (Activity * Emission Factor = CO2e). Emissions are then categorized according to GHG Protocol scopes.</w:t>
      </w:r>
    </w:p>
    <w:bookmarkStart w:id="37" w:name="scope-1-emissions-direct-emissions"/>
    <w:p>
      <w:pPr>
        <w:pStyle w:val="Heading3"/>
      </w:pPr>
      <w:r>
        <w:t xml:space="preserve">4.1 Scope 1 Emissions (Direct Emissions)</w:t>
      </w:r>
    </w:p>
    <w:p>
      <w:pPr>
        <w:pStyle w:val="FirstParagraph"/>
      </w:pPr>
      <w:r>
        <w:t xml:space="preserve">These are direct GHG emissions from sources owned or controlled by ulsqfdunrg (e.g., on-site combustion of fuels).</w:t>
      </w:r>
    </w:p>
    <w:p>
      <w:pPr>
        <w:numPr>
          <w:ilvl w:val="0"/>
          <w:numId w:val="1010"/>
        </w:numPr>
        <w:pStyle w:val="Compact"/>
      </w:pPr>
      <w:r>
        <w:rPr>
          <w:bCs/>
          <w:b/>
        </w:rPr>
        <w:t xml:space="preserve">Example: On-site Natural Gas Combustion for heating:</w:t>
      </w:r>
    </w:p>
    <w:p>
      <w:pPr>
        <w:numPr>
          <w:ilvl w:val="1"/>
          <w:numId w:val="1011"/>
        </w:numPr>
        <w:pStyle w:val="Compact"/>
      </w:pPr>
      <w:r>
        <w:t xml:space="preserve">Assume 100 kWh of natural gas used per functional unit.</w:t>
      </w:r>
    </w:p>
    <w:p>
      <w:pPr>
        <w:numPr>
          <w:ilvl w:val="1"/>
          <w:numId w:val="1011"/>
        </w:numPr>
        <w:pStyle w:val="Compact"/>
      </w:pPr>
      <w:r>
        <w:t xml:space="preserve">Emission Factor (Natural Gas): 0.20 kgCO2e/kWh</w:t>
      </w:r>
    </w:p>
    <w:p>
      <w:pPr>
        <w:numPr>
          <w:ilvl w:val="1"/>
          <w:numId w:val="1011"/>
        </w:numPr>
        <w:pStyle w:val="Compact"/>
      </w:pPr>
      <w:r>
        <w:t xml:space="preserve">Calculation: 100 kWh * 0.20 kgCO2e/kWh = 20.0 kgCO2e</w:t>
      </w:r>
    </w:p>
    <w:p>
      <w:pPr>
        <w:numPr>
          <w:ilvl w:val="0"/>
          <w:numId w:val="1010"/>
        </w:numPr>
        <w:pStyle w:val="Compact"/>
      </w:pPr>
      <w:r>
        <w:rPr>
          <w:bCs/>
          <w:b/>
        </w:rPr>
        <w:t xml:space="preserve">Total Illustrative Scope 1 Emissions: 20.0 kgCO2e/unit</w:t>
      </w:r>
    </w:p>
    <w:bookmarkEnd w:id="37"/>
    <w:bookmarkStart w:id="38" w:name="scope-2-emissions-purchased-energy"/>
    <w:p>
      <w:pPr>
        <w:pStyle w:val="Heading3"/>
      </w:pPr>
      <w:r>
        <w:t xml:space="preserve">4.2 Scope 2 Emissions (Purchased Energy)</w:t>
      </w:r>
    </w:p>
    <w:p>
      <w:pPr>
        <w:pStyle w:val="FirstParagraph"/>
      </w:pPr>
      <w:r>
        <w:t xml:space="preserve">These are indirect GHG emissions from the generation of purchased electricity, heat, or steam consumed by ulsqfdunrg.</w:t>
      </w:r>
    </w:p>
    <w:p>
      <w:pPr>
        <w:numPr>
          <w:ilvl w:val="0"/>
          <w:numId w:val="1012"/>
        </w:numPr>
        <w:pStyle w:val="Compact"/>
      </w:pPr>
      <w:r>
        <w:rPr>
          <w:bCs/>
          <w:b/>
        </w:rPr>
        <w:t xml:space="preserve">Energy Intensity:</w:t>
      </w:r>
      <w:r>
        <w:t xml:space="preserve"> </w:t>
      </w:r>
      <w:r>
        <w:t xml:space="preserve">rpztgursso (Illustrative: 0.8 kWh/unit)</w:t>
      </w:r>
    </w:p>
    <w:p>
      <w:pPr>
        <w:numPr>
          <w:ilvl w:val="0"/>
          <w:numId w:val="1012"/>
        </w:numPr>
        <w:pStyle w:val="Compact"/>
      </w:pPr>
      <w:r>
        <w:rPr>
          <w:bCs/>
          <w:b/>
        </w:rPr>
        <w:t xml:space="preserve">Renewable Energy Usage:</w:t>
      </w:r>
      <w:r>
        <w:t xml:space="preserve"> </w:t>
      </w:r>
      <w:r>
        <w:t xml:space="preserve">rigrhwufqy (Illustrative: 75% renewable electricity)</w:t>
      </w:r>
    </w:p>
    <w:p>
      <w:pPr>
        <w:numPr>
          <w:ilvl w:val="0"/>
          <w:numId w:val="1012"/>
        </w:numPr>
        <w:pStyle w:val="Compact"/>
      </w:pPr>
      <w:r>
        <w:rPr>
          <w:bCs/>
          <w:b/>
        </w:rPr>
        <w:t xml:space="preserve">Non-renewable Electricity Consumption:</w:t>
      </w:r>
      <w:r>
        <w:t xml:space="preserve"> </w:t>
      </w:r>
      <w:r>
        <w:t xml:space="preserve">0.8 kWh/unit * (1 - 0.75) = 0.2 kWh/unit</w:t>
      </w:r>
    </w:p>
    <w:p>
      <w:pPr>
        <w:numPr>
          <w:ilvl w:val="0"/>
          <w:numId w:val="1012"/>
        </w:numPr>
        <w:pStyle w:val="Compact"/>
      </w:pPr>
      <w:r>
        <w:rPr>
          <w:bCs/>
          <w:b/>
        </w:rPr>
        <w:t xml:space="preserve">Renewable Electricity Consumption:</w:t>
      </w:r>
      <w:r>
        <w:t xml:space="preserve"> </w:t>
      </w:r>
      <w:r>
        <w:t xml:space="preserve">0.8 kWh/unit * 0.75 = 0.6 kWh/unit</w:t>
      </w:r>
    </w:p>
    <w:p>
      <w:pPr>
        <w:numPr>
          <w:ilvl w:val="0"/>
          <w:numId w:val="1012"/>
        </w:numPr>
        <w:pStyle w:val="Compact"/>
      </w:pPr>
      <w:r>
        <w:rPr>
          <w:bCs/>
          <w:b/>
        </w:rPr>
        <w:t xml:space="preserve">Emissions from Non-renewable Electricity (China Grid Mix):</w:t>
      </w:r>
      <w:r>
        <w:t xml:space="preserve"> </w:t>
      </w:r>
      <w:r>
        <w:t xml:space="preserve">0.2 kWh/unit * 0.60 kgCO2e/kWh = 0.12 kgCO2e</w:t>
      </w:r>
    </w:p>
    <w:p>
      <w:pPr>
        <w:numPr>
          <w:ilvl w:val="0"/>
          <w:numId w:val="1012"/>
        </w:numPr>
        <w:pStyle w:val="Compact"/>
      </w:pPr>
      <w:r>
        <w:rPr>
          <w:bCs/>
          <w:b/>
        </w:rPr>
        <w:t xml:space="preserve">Emissions from Renewable Electricity (Residual):</w:t>
      </w:r>
      <w:r>
        <w:t xml:space="preserve"> </w:t>
      </w:r>
      <w:r>
        <w:t xml:space="preserve">0.6 kWh/unit * 0.01 kgCO2e/kWh = 0.006 kgCO2e</w:t>
      </w:r>
    </w:p>
    <w:p>
      <w:pPr>
        <w:numPr>
          <w:ilvl w:val="0"/>
          <w:numId w:val="1012"/>
        </w:numPr>
        <w:pStyle w:val="Compact"/>
      </w:pPr>
      <w:r>
        <w:rPr>
          <w:bCs/>
          <w:b/>
        </w:rPr>
        <w:t xml:space="preserve">Total Illustrative Scope 2 Emissions: 0.126 kgCO2e/unit</w:t>
      </w:r>
    </w:p>
    <w:bookmarkEnd w:id="38"/>
    <w:bookmarkStart w:id="41"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 ulsqfdunrg, both upstream and downstream. Per 2026 requirements, at least 95% coverage is ensured.</w:t>
      </w:r>
    </w:p>
    <w:bookmarkStart w:id="39" w:name="upstream-scope-3-1"/>
    <w:p>
      <w:pPr>
        <w:pStyle w:val="Heading4"/>
      </w:pPr>
      <w:r>
        <w:t xml:space="preserve">4.3.1 Upstream Scope 3</w:t>
      </w:r>
    </w:p>
    <w:p>
      <w:pPr>
        <w:numPr>
          <w:ilvl w:val="0"/>
          <w:numId w:val="1013"/>
        </w:numPr>
        <w:pStyle w:val="Compact"/>
      </w:pPr>
      <w:r>
        <w:rPr>
          <w:bCs/>
          <w:b/>
        </w:rPr>
        <w:t xml:space="preserve">Materials (Category 1: Purchased Goods and Services):</w:t>
      </w:r>
    </w:p>
    <w:p>
      <w:pPr>
        <w:numPr>
          <w:ilvl w:val="1"/>
          <w:numId w:val="1014"/>
        </w:numPr>
        <w:pStyle w:val="Compact"/>
      </w:pPr>
      <w:r>
        <w:t xml:space="preserve">Based on the BOM data (Total Material Carbon Impact):</w:t>
      </w:r>
      <w:r>
        <w:t xml:space="preserve"> </w:t>
      </w:r>
      <w:r>
        <w:rPr>
          <w:bCs/>
          <w:b/>
        </w:rPr>
        <w:t xml:space="preserve">5.06 kgCO2e/unit</w:t>
      </w:r>
    </w:p>
    <w:p>
      <w:pPr>
        <w:numPr>
          <w:ilvl w:val="0"/>
          <w:numId w:val="1013"/>
        </w:numPr>
        <w:pStyle w:val="Compact"/>
      </w:pPr>
      <w:r>
        <w:rPr>
          <w:bCs/>
          <w:b/>
        </w:rPr>
        <w:t xml:space="preserve">Inbound Transport (Category 4: Upstream Transportation and Distribution):</w:t>
      </w:r>
    </w:p>
    <w:p>
      <w:pPr>
        <w:numPr>
          <w:ilvl w:val="1"/>
          <w:numId w:val="1015"/>
        </w:numPr>
        <w:pStyle w:val="Compact"/>
      </w:pPr>
      <w:r>
        <w:t xml:space="preserve">Transport Mode: Select Mode (Illustrative: Road - Heavy Duty Truck)</w:t>
      </w:r>
    </w:p>
    <w:p>
      <w:pPr>
        <w:numPr>
          <w:ilvl w:val="1"/>
          <w:numId w:val="1015"/>
        </w:numPr>
        <w:pStyle w:val="Compact"/>
      </w:pPr>
      <w:r>
        <w:t xml:space="preserve">Transport Distance: usfqzmmivj (Illustrative: 1,500 km for raw materials from Europe to China)</w:t>
      </w:r>
    </w:p>
    <w:p>
      <w:pPr>
        <w:numPr>
          <w:ilvl w:val="1"/>
          <w:numId w:val="1015"/>
        </w:numPr>
        <w:pStyle w:val="Compact"/>
      </w:pPr>
      <w:r>
        <w:t xml:space="preserve">Assume an average material weight of 1.0 kg/unit for souufloogf\'s components.</w:t>
      </w:r>
    </w:p>
    <w:p>
      <w:pPr>
        <w:numPr>
          <w:ilvl w:val="1"/>
          <w:numId w:val="1015"/>
        </w:numPr>
        <w:pStyle w:val="Compact"/>
      </w:pPr>
      <w:r>
        <w:t xml:space="preserve">Calculation: 1.0 kg * 1500 km * 0.09 kgCO2e/tkm / 1000 (to convert kg to tonnes) = 0.135 kgCO2e/unit</w:t>
      </w:r>
    </w:p>
    <w:p>
      <w:pPr>
        <w:numPr>
          <w:ilvl w:val="0"/>
          <w:numId w:val="1013"/>
        </w:numPr>
        <w:pStyle w:val="Compact"/>
      </w:pPr>
      <w:r>
        <w:rPr>
          <w:bCs/>
          <w:b/>
        </w:rPr>
        <w:t xml:space="preserve">Total Illustrative Upstream Scope 3 Emissions: 5.06 + 0.135 = 5.195 kgCO2e/unit</w:t>
      </w:r>
    </w:p>
    <w:bookmarkEnd w:id="39"/>
    <w:bookmarkStart w:id="40" w:name="downstream-scope-3-expanded-analysis"/>
    <w:p>
      <w:pPr>
        <w:pStyle w:val="Heading4"/>
      </w:pPr>
      <w:r>
        <w:t xml:space="preserve">4.3.2 Downstream Scope 3 (Expanded Analysis)</w:t>
      </w:r>
    </w:p>
    <w:p>
      <w:pPr>
        <w:numPr>
          <w:ilvl w:val="0"/>
          <w:numId w:val="1016"/>
        </w:numPr>
        <w:pStyle w:val="Compact"/>
      </w:pPr>
      <w:r>
        <w:rPr>
          <w:bCs/>
          <w:b/>
        </w:rPr>
        <w:t xml:space="preserve">Outbound Transport (Category 4: Downstream Transportation and Distribution):</w:t>
      </w:r>
    </w:p>
    <w:p>
      <w:pPr>
        <w:numPr>
          <w:ilvl w:val="1"/>
          <w:numId w:val="1017"/>
        </w:numPr>
        <w:pStyle w:val="Compact"/>
      </w:pPr>
      <w:r>
        <w:t xml:space="preserve">Transport Mode: Select Mode (Illustrative: Road - Heavy Duty Truck from factory to distribution center, then Last-Mile Delivery Type)</w:t>
      </w:r>
    </w:p>
    <w:p>
      <w:pPr>
        <w:numPr>
          <w:ilvl w:val="1"/>
          <w:numId w:val="1017"/>
        </w:numPr>
        <w:pStyle w:val="Compact"/>
      </w:pPr>
      <w:r>
        <w:t xml:space="preserve">Primary Transport Distance: usfqzmmivj (Illustrative: 8,000 km from China to Europe distribution center)</w:t>
      </w:r>
    </w:p>
    <w:p>
      <w:pPr>
        <w:numPr>
          <w:ilvl w:val="1"/>
          <w:numId w:val="1017"/>
        </w:numPr>
        <w:pStyle w:val="Compact"/>
      </w:pPr>
      <w:r>
        <w:t xml:space="preserve">Last-Mile Delivery Distance: 200 km (Illustrative)</w:t>
      </w:r>
    </w:p>
    <w:p>
      <w:pPr>
        <w:numPr>
          <w:ilvl w:val="1"/>
          <w:numId w:val="1017"/>
        </w:numPr>
        <w:pStyle w:val="Compact"/>
      </w:pPr>
      <w:r>
        <w:t xml:space="preserve">Product weight: 1.0 kg/unit</w:t>
      </w:r>
    </w:p>
    <w:p>
      <w:pPr>
        <w:numPr>
          <w:ilvl w:val="1"/>
          <w:numId w:val="1017"/>
        </w:numPr>
        <w:pStyle w:val="Compact"/>
      </w:pPr>
      <w:r>
        <w:t xml:space="preserve">Primary Transport: 1.0 kg * 8000 km * 0.09 kgCO2e/tkm / 1000 = 0.72 kgCO2e/unit</w:t>
      </w:r>
    </w:p>
    <w:p>
      <w:pPr>
        <w:numPr>
          <w:ilvl w:val="1"/>
          <w:numId w:val="1017"/>
        </w:numPr>
        <w:pStyle w:val="Compact"/>
      </w:pPr>
      <w:r>
        <w:t xml:space="preserve">Last-Mile Delivery (Light Commercial Van): 200 km * 0.25 kgCO2e/km = 50.0 kgCO2e (assuming this is shared among many units in a van, this needs allocation)</w:t>
      </w:r>
    </w:p>
    <w:p>
      <w:pPr>
        <w:numPr>
          <w:ilvl w:val="1"/>
          <w:numId w:val="1017"/>
        </w:numPr>
        <w:pStyle w:val="Compact"/>
      </w:pPr>
      <w:r>
        <w:t xml:space="preserve">For one unit: If a van carries 100 units, then 50.0 kgCO2e / 100 units = 0.50 kgCO2e/unit (Illustrative allocation)</w:t>
      </w:r>
    </w:p>
    <w:p>
      <w:pPr>
        <w:numPr>
          <w:ilvl w:val="1"/>
          <w:numId w:val="1017"/>
        </w:numPr>
        <w:pStyle w:val="Compact"/>
      </w:pPr>
      <w:r>
        <w:t xml:space="preserve">Total Outbound Transport: 0.72 + 0.50 = 1.22 kgCO2e/unit</w:t>
      </w:r>
    </w:p>
    <w:p>
      <w:pPr>
        <w:numPr>
          <w:ilvl w:val="0"/>
          <w:numId w:val="1016"/>
        </w:numPr>
        <w:pStyle w:val="Compact"/>
      </w:pPr>
      <w:r>
        <w:rPr>
          <w:bCs/>
          <w:b/>
        </w:rPr>
        <w:t xml:space="preserve">Use Phase (Category 11: Use of Sold Products):</w:t>
      </w:r>
    </w:p>
    <w:p>
      <w:pPr>
        <w:numPr>
          <w:ilvl w:val="1"/>
          <w:numId w:val="1018"/>
        </w:numPr>
        <w:pStyle w:val="Compact"/>
      </w:pPr>
      <w:r>
        <w:t xml:space="preserve">Product Lifespan: uojgvhqhhi (Illustrative: 5 years)</w:t>
      </w:r>
    </w:p>
    <w:p>
      <w:pPr>
        <w:numPr>
          <w:ilvl w:val="1"/>
          <w:numId w:val="1018"/>
        </w:numPr>
        <w:pStyle w:val="Compact"/>
      </w:pPr>
      <w:r>
        <w:t xml:space="preserve">Energy Consumption in Use: zzettpkxvl (Illustrative: 20 kWh/year)</w:t>
      </w:r>
    </w:p>
    <w:p>
      <w:pPr>
        <w:numPr>
          <w:ilvl w:val="1"/>
          <w:numId w:val="1018"/>
        </w:numPr>
        <w:pStyle w:val="Compact"/>
      </w:pPr>
      <w:r>
        <w:t xml:space="preserve">Total energy consumption over lifespan: 20 kWh/year * 5 years = 100 kWh</w:t>
      </w:r>
    </w:p>
    <w:p>
      <w:pPr>
        <w:numPr>
          <w:ilvl w:val="1"/>
          <w:numId w:val="1018"/>
        </w:numPr>
        <w:pStyle w:val="Compact"/>
      </w:pPr>
      <w:r>
        <w:t xml:space="preserve">Assuming global average grid mix for use phase: 0.45 kgCO2e/kWh</w:t>
      </w:r>
    </w:p>
    <w:p>
      <w:pPr>
        <w:numPr>
          <w:ilvl w:val="1"/>
          <w:numId w:val="1018"/>
        </w:numPr>
        <w:pStyle w:val="Compact"/>
      </w:pPr>
      <w:r>
        <w:t xml:space="preserve">Calculation: 100 kWh * 0.45 kgCO2e/kWh = 45.0 kgCO2e/unit</w:t>
      </w:r>
    </w:p>
    <w:p>
      <w:pPr>
        <w:numPr>
          <w:ilvl w:val="0"/>
          <w:numId w:val="1016"/>
        </w:numPr>
        <w:pStyle w:val="Compact"/>
      </w:pPr>
      <w:r>
        <w:rPr>
          <w:bCs/>
          <w:b/>
        </w:rPr>
        <w:t xml:space="preserve">End-of-Life (Category 12: End-of-Life Treatment of Sold Products):</w:t>
      </w:r>
    </w:p>
    <w:p>
      <w:pPr>
        <w:numPr>
          <w:ilvl w:val="1"/>
          <w:numId w:val="1019"/>
        </w:numPr>
        <w:pStyle w:val="Compact"/>
      </w:pPr>
      <w:r>
        <w:t xml:space="preserve">Recyclability Percentage: xvdkztuhnp (Illustrative: 80%)</w:t>
      </w:r>
    </w:p>
    <w:p>
      <w:pPr>
        <w:numPr>
          <w:ilvl w:val="1"/>
          <w:numId w:val="1019"/>
        </w:numPr>
        <w:pStyle w:val="Compact"/>
      </w:pPr>
      <w:r>
        <w:t xml:space="preserve">Circular/Take-back Programs: ngqljupdqt (Illustrative: Yes, active)</w:t>
      </w:r>
    </w:p>
    <w:p>
      <w:pPr>
        <w:numPr>
          <w:ilvl w:val="1"/>
          <w:numId w:val="1019"/>
        </w:numPr>
        <w:pStyle w:val="Compact"/>
      </w:pPr>
      <w:r>
        <w:t xml:space="preserve">Product weight: 1.0 kg/unit</w:t>
      </w:r>
    </w:p>
    <w:p>
      <w:pPr>
        <w:numPr>
          <w:ilvl w:val="1"/>
          <w:numId w:val="1019"/>
        </w:numPr>
        <w:pStyle w:val="Compact"/>
      </w:pPr>
      <w:r>
        <w:t xml:space="preserve">Recycled portion: 1.0 kg * 0.80 = 0.8 kg</w:t>
      </w:r>
    </w:p>
    <w:p>
      <w:pPr>
        <w:numPr>
          <w:ilvl w:val="1"/>
          <w:numId w:val="1019"/>
        </w:numPr>
        <w:pStyle w:val="Compact"/>
      </w:pPr>
      <w:r>
        <w:t xml:space="preserve">Disposed portion (landfill): 1.0 kg * 0.20 = 0.2 kg</w:t>
      </w:r>
    </w:p>
    <w:p>
      <w:pPr>
        <w:numPr>
          <w:ilvl w:val="1"/>
          <w:numId w:val="1019"/>
        </w:numPr>
        <w:pStyle w:val="Compact"/>
      </w:pPr>
      <w:r>
        <w:t xml:space="preserve">Emissions from Landfill: 0.2 kg * 0.5 kgCO2e/kg = 0.1 kgCO2e</w:t>
      </w:r>
    </w:p>
    <w:p>
      <w:pPr>
        <w:numPr>
          <w:ilvl w:val="1"/>
          <w:numId w:val="1019"/>
        </w:numPr>
        <w:pStyle w:val="Compact"/>
      </w:pPr>
      <w:r>
        <w:t xml:space="preserve">Avoided Emissions from Recycling (credit): 0.8 kg * (-2.0 kgCO2e/kg) = -1.6 kgCO2e (Illustrative credit for avoided virgin material production)</w:t>
      </w:r>
    </w:p>
    <w:p>
      <w:pPr>
        <w:numPr>
          <w:ilvl w:val="1"/>
          <w:numId w:val="1019"/>
        </w:numPr>
        <w:pStyle w:val="Compact"/>
      </w:pPr>
      <w:r>
        <w:t xml:space="preserve">Net EoL Emissions: 0.1 - 1.6 = -1.5 kgCO2e/unit</w:t>
      </w:r>
    </w:p>
    <w:p>
      <w:pPr>
        <w:numPr>
          <w:ilvl w:val="0"/>
          <w:numId w:val="1016"/>
        </w:numPr>
        <w:pStyle w:val="Compact"/>
      </w:pPr>
      <w:r>
        <w:rPr>
          <w:bCs/>
          <w:b/>
        </w:rPr>
        <w:t xml:space="preserve">Total Illustrative Downstream Scope 3 Emissions: 1.22 + 45.0 - 1.5 = 44.72 kgCO2e/unit</w:t>
      </w:r>
    </w:p>
    <w:bookmarkEnd w:id="40"/>
    <w:bookmarkEnd w:id="41"/>
    <w:bookmarkStart w:id="42" w:name="application-of-2026-lsr-standard"/>
    <w:p>
      <w:pPr>
        <w:pStyle w:val="Heading3"/>
      </w:pPr>
      <w:r>
        <w:t xml:space="preserve">4.4 Application of 2026 LSR Standard</w:t>
      </w:r>
    </w:p>
    <w:p>
      <w:pPr>
        <w:pStyle w:val="FirstParagraph"/>
      </w:pPr>
      <w:r>
        <w:t xml:space="preserve">The Land Sector and Removals (LSR) Standard is applied by identifying any land-use change emissions or carbon removals associated with the product\'s value chain. For \'souufloogf\', this would typically involve assessing the impact of raw material sourcing (e.g., timber, agricultural products, or materials from mining operations that caused land-use change) and any potential for carbon sequestration within the product or its packaging (e.g., bio-based materials). As specific data for LSR was not provided, this report conceptually integrates LSR by acknowledging that if any raw materials involved direct land-use change or if product components actively sequester carbon, these would be quantified and reported as separate LSR categories within the relevant scopes (primarily Scope 3, categories 1 or 15). For the illustrative BOM, assuming recycled aluminum and cardboard minimizes direct LSR impact, but detailed assessment of virgin inputs would be crucial.</w:t>
      </w:r>
    </w:p>
    <w:bookmarkEnd w:id="42"/>
    <w:bookmarkStart w:id="43" w:name="Xacf18fa8957e1f046de293c55a55509dc5caf5b"/>
    <w:p>
      <w:pPr>
        <w:pStyle w:val="Heading3"/>
      </w:pPr>
      <w:r>
        <w:t xml:space="preserve">4.5 Summary of Illustrative Emissions by Scope</w:t>
      </w:r>
    </w:p>
    <w:p>
      <w:pPr>
        <w:pStyle w:val="FirstParagraph"/>
      </w:pPr>
      <w:r>
        <w:t xml:space="preserve">The table below summarizes the illustrative Product Carbon Footprint for one functional unit of \'souufloogf\', broken down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20.00</w:t>
            </w:r>
          </w:p>
        </w:tc>
        <w:tc>
          <w:tcPr/>
          <w:p>
            <w:pPr>
              <w:pStyle w:val="Compact"/>
              <w:jc w:val="left"/>
            </w:pPr>
            <w:r>
              <w:t xml:space="preserve">28.5%</w:t>
            </w:r>
          </w:p>
        </w:tc>
      </w:tr>
      <w:tr>
        <w:tc>
          <w:tcPr/>
          <w:p>
            <w:pPr>
              <w:pStyle w:val="Compact"/>
              <w:jc w:val="left"/>
            </w:pPr>
            <w:r>
              <w:rPr>
                <w:bCs/>
                <w:b/>
              </w:rPr>
              <w:t xml:space="preserve">Scope 2</w:t>
            </w:r>
          </w:p>
        </w:tc>
        <w:tc>
          <w:tcPr/>
          <w:p>
            <w:pPr>
              <w:pStyle w:val="Compact"/>
              <w:jc w:val="left"/>
            </w:pPr>
            <w:r>
              <w:t xml:space="preserve">Purchased Electricity (Market-based)</w:t>
            </w:r>
          </w:p>
        </w:tc>
        <w:tc>
          <w:tcPr/>
          <w:p>
            <w:pPr>
              <w:pStyle w:val="Compact"/>
              <w:jc w:val="left"/>
            </w:pPr>
            <w:r>
              <w:t xml:space="preserve">0.13</w:t>
            </w:r>
          </w:p>
        </w:tc>
        <w:tc>
          <w:tcPr/>
          <w:p>
            <w:pPr>
              <w:pStyle w:val="Compact"/>
              <w:jc w:val="left"/>
            </w:pPr>
            <w:r>
              <w:t xml:space="preserve">0.2%</w:t>
            </w:r>
          </w:p>
        </w:tc>
      </w:tr>
      <w:tr>
        <w:tc>
          <w:tcPr>
            <w:vMerge w:val="restart"/>
          </w:tcPr>
          <w:p>
            <w:pPr>
              <w:pStyle w:val="Compact"/>
              <w:jc w:val="left"/>
            </w:pPr>
            <w:r>
              <w:rPr>
                <w:bCs/>
                <w:b/>
              </w:rPr>
              <w:t xml:space="preserve">Scope 3</w:t>
            </w:r>
          </w:p>
        </w:tc>
        <w:tc>
          <w:tcPr/>
          <w:p>
            <w:pPr>
              <w:pStyle w:val="Compact"/>
              <w:jc w:val="left"/>
            </w:pPr>
            <w:r>
              <w:t xml:space="preserve">Upstream: Purchased Goods &amp; Services (Materials)</w:t>
            </w:r>
          </w:p>
        </w:tc>
        <w:tc>
          <w:tcPr/>
          <w:p>
            <w:pPr>
              <w:pStyle w:val="Compact"/>
              <w:jc w:val="left"/>
            </w:pPr>
            <w:r>
              <w:t xml:space="preserve">5.06</w:t>
            </w:r>
          </w:p>
        </w:tc>
        <w:tc>
          <w:tcPr/>
          <w:p>
            <w:pPr>
              <w:pStyle w:val="Compact"/>
              <w:jc w:val="left"/>
            </w:pPr>
            <w:r>
              <w:t xml:space="preserve">7.2%</w:t>
            </w:r>
          </w:p>
        </w:tc>
      </w:tr>
      <w:tr>
        <w:tc>
          <w:tcPr>
            <w:gridSpan w:val="1"/>
            <w:vMerge w:val="continue"/>
          </w:tcPr>
          <w:p>
            <w:pPr/>
          </w:p>
        </w:tc>
        <w:tc>
          <w:tcPr/>
          <w:p>
            <w:pPr>
              <w:pStyle w:val="Compact"/>
              <w:jc w:val="left"/>
            </w:pPr>
            <w:r>
              <w:t xml:space="preserve">Upstream: Transportation &amp; Distribution (Inbound)</w:t>
            </w:r>
          </w:p>
        </w:tc>
        <w:tc>
          <w:tcPr/>
          <w:p>
            <w:pPr>
              <w:pStyle w:val="Compact"/>
              <w:jc w:val="left"/>
            </w:pPr>
            <w:r>
              <w:t xml:space="preserve">0.14</w:t>
            </w:r>
          </w:p>
        </w:tc>
        <w:tc>
          <w:tcPr/>
          <w:p>
            <w:pPr>
              <w:pStyle w:val="Compact"/>
              <w:jc w:val="left"/>
            </w:pPr>
            <w:r>
              <w:t xml:space="preserve">0.2%</w:t>
            </w:r>
          </w:p>
        </w:tc>
      </w:tr>
      <w:tr>
        <w:tc>
          <w:tcPr>
            <w:gridSpan w:val="1"/>
            <w:vMerge w:val="continue"/>
          </w:tcPr>
          <w:p>
            <w:pPr/>
          </w:p>
        </w:tc>
        <w:tc>
          <w:tcPr/>
          <w:p>
            <w:pPr>
              <w:pStyle w:val="Compact"/>
              <w:jc w:val="left"/>
            </w:pPr>
            <w:r>
              <w:t xml:space="preserve">Downstream: Transportation &amp; Distribution (Outbound)</w:t>
            </w:r>
          </w:p>
        </w:tc>
        <w:tc>
          <w:tcPr/>
          <w:p>
            <w:pPr>
              <w:pStyle w:val="Compact"/>
              <w:jc w:val="left"/>
            </w:pPr>
            <w:r>
              <w:t xml:space="preserve">1.22</w:t>
            </w:r>
          </w:p>
        </w:tc>
        <w:tc>
          <w:tcPr/>
          <w:p>
            <w:pPr>
              <w:pStyle w:val="Compact"/>
              <w:jc w:val="left"/>
            </w:pPr>
            <w:r>
              <w:t xml:space="preserve">1.7%</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45.00</w:t>
            </w:r>
          </w:p>
        </w:tc>
        <w:tc>
          <w:tcPr/>
          <w:p>
            <w:pPr>
              <w:pStyle w:val="Compact"/>
              <w:jc w:val="left"/>
            </w:pPr>
            <w:r>
              <w:t xml:space="preserve">64.1%</w:t>
            </w:r>
          </w:p>
        </w:tc>
      </w:tr>
      <w:tr>
        <w:tc>
          <w:tcPr/>
          <w:p>
            <w:pPr>
              <w:pStyle w:val="Compact"/>
            </w:pPr>
          </w:p>
        </w:tc>
        <w:tc>
          <w:tcPr/>
          <w:p>
            <w:pPr>
              <w:pStyle w:val="Compact"/>
              <w:jc w:val="left"/>
            </w:pPr>
            <w:r>
              <w:t xml:space="preserve">Downstream: End-of-Life Treatment of Sold Products (Net)</w:t>
            </w:r>
          </w:p>
        </w:tc>
        <w:tc>
          <w:tcPr/>
          <w:p>
            <w:pPr>
              <w:pStyle w:val="Compact"/>
              <w:jc w:val="left"/>
            </w:pPr>
            <w:r>
              <w:t xml:space="preserve">-1.50</w:t>
            </w:r>
          </w:p>
        </w:tc>
        <w:tc>
          <w:tcPr/>
          <w:p>
            <w:pPr>
              <w:pStyle w:val="Compact"/>
              <w:jc w:val="left"/>
            </w:pPr>
            <w:r>
              <w:t xml:space="preserve">-2.1%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70.05</w:t>
            </w:r>
          </w:p>
        </w:tc>
        <w:tc>
          <w:tcPr/>
          <w:p>
            <w:pPr>
              <w:pStyle w:val="Compact"/>
              <w:jc w:val="left"/>
            </w:pPr>
            <w:r>
              <w:rPr>
                <w:bCs/>
                <w:b/>
              </w:rPr>
              <w:t xml:space="preserve">100%</w:t>
            </w:r>
          </w:p>
        </w:tc>
      </w:tr>
    </w:tbl>
    <w:p>
      <w:pPr>
        <w:pStyle w:val="BodyText"/>
      </w:pPr>
      <w:r>
        <w:rPr>
          <w:iCs/>
          <w:i/>
        </w:rPr>
        <w:t xml:space="preserve">Note: Percentages may not sum to 100% due to rounding and the negative EoL value.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Based on the illustrative calculations, the primary emission hotspots for \'souufloogf\' are:</w:t>
      </w:r>
    </w:p>
    <w:p>
      <w:pPr>
        <w:numPr>
          <w:ilvl w:val="0"/>
          <w:numId w:val="1020"/>
        </w:numPr>
        <w:pStyle w:val="Compact"/>
      </w:pPr>
      <w:r>
        <w:rPr>
          <w:bCs/>
          <w:b/>
        </w:rPr>
        <w:t xml:space="preserve">Use Phase (64.1%):</w:t>
      </w:r>
      <w:r>
        <w:t xml:space="preserve"> </w:t>
      </w:r>
      <w:r>
        <w:t xml:space="preserve">The most significant contributor to the PCF is the energy consumed during the product\'s operational lifespan. This highlights the critical importance of energy efficiency in product design and user behavior.</w:t>
      </w:r>
    </w:p>
    <w:p>
      <w:pPr>
        <w:numPr>
          <w:ilvl w:val="0"/>
          <w:numId w:val="1020"/>
        </w:numPr>
        <w:pStyle w:val="Compact"/>
      </w:pPr>
      <w:r>
        <w:rPr>
          <w:bCs/>
          <w:b/>
        </w:rPr>
        <w:t xml:space="preserve">Scope 1 Direct Emissions (28.5%):</w:t>
      </w:r>
      <w:r>
        <w:t xml:space="preserve"> </w:t>
      </w:r>
      <w:r>
        <w:t xml:space="preserve">On-site fuel combustion for manufacturing also represents a substantial portion, indicating opportunities for transitioning to cleaner energy sources within ulsqfdunrg\'s facilities.</w:t>
      </w:r>
    </w:p>
    <w:p>
      <w:pPr>
        <w:numPr>
          <w:ilvl w:val="0"/>
          <w:numId w:val="1020"/>
        </w:numPr>
        <w:pStyle w:val="Compact"/>
      </w:pPr>
      <w:r>
        <w:rPr>
          <w:bCs/>
          <w:b/>
        </w:rPr>
        <w:t xml:space="preserve">Purchased Goods &amp; Services (Materials) (7.2%):</w:t>
      </w:r>
      <w:r>
        <w:t xml:space="preserve"> </w:t>
      </w:r>
      <w:r>
        <w:t xml:space="preserve">Material extraction and processing, particularly for virgin materials, contribute notably. Strategies to use lower-carbon materials, recycled content, and efficient material utilization are important.</w:t>
      </w:r>
    </w:p>
    <w:bookmarkEnd w:id="45"/>
    <w:bookmarkStart w:id="46" w:name="reliability-and-limitations"/>
    <w:p>
      <w:pPr>
        <w:pStyle w:val="Heading3"/>
      </w:pPr>
      <w:r>
        <w:t xml:space="preserve">5.2 Reliability and Limitations</w:t>
      </w:r>
    </w:p>
    <w:p>
      <w:pPr>
        <w:pStyle w:val="FirstParagraph"/>
      </w:pPr>
      <w:r>
        <w:t xml:space="preserve">The reliability of this PCF analysis is dependent on the quality and specificity of the input data.</w:t>
      </w:r>
    </w:p>
    <w:p>
      <w:pPr>
        <w:numPr>
          <w:ilvl w:val="0"/>
          <w:numId w:val="1021"/>
        </w:numPr>
        <w:pStyle w:val="Compact"/>
      </w:pPr>
      <w:r>
        <w:rPr>
          <w:bCs/>
          <w:b/>
        </w:rPr>
        <w:t xml:space="preserve">Strengths:</w:t>
      </w:r>
      <w:r>
        <w:t xml:space="preserve"> </w:t>
      </w:r>
      <w:r>
        <w:t xml:space="preserve">Adherence to GHG Protocol, 2026 LSR, and 95% Scope 3 coverage provides a robust framework. The use of a detailed BOM (even if illustrative in this report) allows for granular material impact assessment.</w:t>
      </w:r>
    </w:p>
    <w:p>
      <w:pPr>
        <w:numPr>
          <w:ilvl w:val="0"/>
          <w:numId w:val="1021"/>
        </w:numPr>
        <w:pStyle w:val="Compact"/>
      </w:pPr>
      <w:r>
        <w:rPr>
          <w:bCs/>
          <w:b/>
        </w:rPr>
        <w:t xml:space="preserve">Limitations:</w:t>
      </w:r>
      <w:r>
        <w:t xml:space="preserve"> </w:t>
      </w:r>
      <w:r>
        <w:t xml:space="preserve">For this report, several parameters (e.g., transport mode/distance, energy usage, recyclability, circular programs) were provided as generic strings (`Select Mode`, `usfqzmmivj`, etc.). Illustrative values were assumed for demonstration purposes. A truly accurate PCF would require ulsqfdunrg to provide precise, verifiable primary data for each of these parameters. Emission factors, while based on industry standards, are also generalized where specific supplier data is unavailable.</w:t>
      </w:r>
    </w:p>
    <w:bookmarkEnd w:id="46"/>
    <w:bookmarkStart w:id="47" w:name="recommendations-for-ulsqfdunrg"/>
    <w:p>
      <w:pPr>
        <w:pStyle w:val="Heading3"/>
      </w:pPr>
      <w:r>
        <w:t xml:space="preserve">5.3 Recommendations for ulsqfdunrg</w:t>
      </w:r>
    </w:p>
    <w:p>
      <w:pPr>
        <w:numPr>
          <w:ilvl w:val="0"/>
          <w:numId w:val="1022"/>
        </w:numPr>
        <w:pStyle w:val="Compact"/>
      </w:pPr>
      <w:r>
        <w:rPr>
          <w:bCs/>
          <w:b/>
        </w:rPr>
        <w:t xml:space="preserve">Prioritize Use Phase Optimization:</w:t>
      </w:r>
      <w:r>
        <w:t xml:space="preserve"> </w:t>
      </w:r>
      <w:r>
        <w:t xml:space="preserve">Focus on designing \'souufloogf\' for maximum energy efficiency during its operational life. Explore low-power modes, extended battery life, and user education on sustainable usage.</w:t>
      </w:r>
    </w:p>
    <w:p>
      <w:pPr>
        <w:numPr>
          <w:ilvl w:val="0"/>
          <w:numId w:val="1022"/>
        </w:numPr>
        <w:pStyle w:val="Compact"/>
      </w:pPr>
      <w:r>
        <w:rPr>
          <w:bCs/>
          <w:b/>
        </w:rPr>
        <w:t xml:space="preserve">Decarbonize Production Facilities:</w:t>
      </w:r>
      <w:r>
        <w:t xml:space="preserve"> </w:t>
      </w:r>
      <w:r>
        <w:t xml:space="preserve">Invest in renewable energy sources for Scope 1 and Scope 2 emissions at manufacturing sites, reducing reliance on fossil fuels and grid electricity with high carbon intensity.</w:t>
      </w:r>
    </w:p>
    <w:p>
      <w:pPr>
        <w:numPr>
          <w:ilvl w:val="0"/>
          <w:numId w:val="1022"/>
        </w:numPr>
        <w:pStyle w:val="Compact"/>
      </w:pPr>
      <w:r>
        <w:rPr>
          <w:bCs/>
          <w:b/>
        </w:rPr>
        <w:t xml:space="preserve">Enhance Material Circularity:</w:t>
      </w:r>
      <w:r>
        <w:t xml:space="preserve"> </w:t>
      </w:r>
      <w:r>
        <w:t xml:space="preserve">Increase the proportion of recycled and sustainably sourced materials in the BOM. Further explore and expand circular economy initiatives such as take-back programs to minimize End-of-Life emissions and maximize resource value.</w:t>
      </w:r>
    </w:p>
    <w:p>
      <w:pPr>
        <w:numPr>
          <w:ilvl w:val="0"/>
          <w:numId w:val="1022"/>
        </w:numPr>
        <w:pStyle w:val="Compact"/>
      </w:pPr>
      <w:r>
        <w:rPr>
          <w:bCs/>
          <w:b/>
        </w:rPr>
        <w:t xml:space="preserve">Optimize Logistics:</w:t>
      </w:r>
      <w:r>
        <w:t xml:space="preserve"> </w:t>
      </w:r>
      <w:r>
        <w:t xml:space="preserve">Evaluate opportunities to optimize transportation routes, shift to lower-emission transport modes (e.g., rail or sea where feasible), and improve load factors for both inbound and outbound logistics.</w:t>
      </w:r>
    </w:p>
    <w:p>
      <w:pPr>
        <w:numPr>
          <w:ilvl w:val="0"/>
          <w:numId w:val="1022"/>
        </w:numPr>
        <w:pStyle w:val="Compact"/>
      </w:pPr>
      <w:r>
        <w:rPr>
          <w:bCs/>
          <w:b/>
        </w:rPr>
        <w:t xml:space="preserve">Data Refinement:</w:t>
      </w:r>
      <w:r>
        <w:t xml:space="preserve"> </w:t>
      </w:r>
      <w:r>
        <w:t xml:space="preserve">Collect more granular and specific primary data for all parameters, especially for upstream material suppliers, actual energy consumption in use, and specific end-of-life processing routes, to continuously improve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Page 2 of 2 (Illustrative Page Numbering)</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souufloogf</dc:title>
  <dc:creator/>
  <dc:description>Detailed Product Carbon Footprint (PCF) analysis report for product souufloogf by ulsqfdunrg, adhering to GHG Protocol and 2026 LSR standards.</dc:description>
  <dc:language>en</dc:language>
  <cp:keywords/>
  <dcterms:created xsi:type="dcterms:W3CDTF">2026-05-30T15:55:24Z</dcterms:created>
  <dcterms:modified xsi:type="dcterms:W3CDTF">2026-05-30T15:55:24Z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