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sonnrhhdel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sonnrhhdel</w:t>
      </w:r>
    </w:p>
    <w:p>
      <w:pPr>
        <w:pStyle w:val="BodyText"/>
      </w:pPr>
      <w:r>
        <w:rPr>
          <w:bCs/>
          <w:b/>
        </w:rPr>
        <w:t xml:space="preserve">Company Name:</w:t>
      </w:r>
      <w:r>
        <w:t xml:space="preserve"> </w:t>
      </w:r>
      <w:r>
        <w:t xml:space="preserve">qzergupxtw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zwqkrsphss</w:t>
      </w:r>
    </w:p>
    <w:p>
      <w:pPr>
        <w:pStyle w:val="BodyText"/>
      </w:pPr>
      <w:r>
        <w:t xml:space="preserve">This report is generated based on available data and industry standards, providing an estimate of the product\'s carbon footprint. Accuracy is dependent on the completeness and precision of the input data and chosen emission factors.</w:t>
      </w:r>
    </w:p>
    <w:bookmarkEnd w:id="20"/>
    <w:bookmarkStart w:id="21" w:name="X9082f493decac5646a2ae04fb3bed70fcd5a3b5"/>
    <w:p>
      <w:pPr>
        <w:pStyle w:val="Heading1"/>
      </w:pPr>
      <w:r>
        <w:t xml:space="preserve">Product Carbon Footprint Analysis Report for sonnrhhdel</w:t>
      </w:r>
    </w:p>
    <w:p>
      <w:pPr>
        <w:pStyle w:val="FirstParagraph"/>
      </w:pPr>
      <w:r>
        <w:t xml:space="preserve">Generated Date: May 21, 2026</w:t>
      </w:r>
    </w:p>
    <w:p>
      <w:pPr>
        <w:pStyle w:val="BodyText"/>
      </w:pPr>
      <w:r>
        <w:t xml:space="preserve">Company: qzergupxtw</w:t>
      </w:r>
    </w:p>
    <w:p>
      <w:pPr>
        <w:pStyle w:val="BodyText"/>
      </w:pPr>
      <w:r>
        <w:t xml:space="preserve">Consultant: zwqkrsphss</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\'sonnrhhdel\', manufactured by qzergupxtw. The assessment adheres to the GHG Protocol standards, providing a comprehensive view of greenhouse gas (GHG) emissions across the product\'s lifecycle. The analysis identifies key emission hotspots, categorizes emissions into Scope 1, 2, and 3, and incorporates the latest 2026 GHG Protocol updates regarding Scope 3 coverage and the Land Sector and Removals (LSR) Standard. The total estimated carbon footprint for one functional unit of sonnrhhdel is 31.129 kg CO2e.</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sonnrhhdel follows the 5-step methodology prescribed: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sonnrhhdel</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processes from raw material acquisition, manufacturing, and assembly up to the point the finished product leaves the factory gate. Additionally, following GHG Protocol requirements for comprehensive lifecycle assessment, downstream stages including transportation to the customer, product use phase, and end-of-life scenarios are also included to provide a holistic PCF.</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from and distribution to Europe)</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standards, specifically the Product Standard and the Corporate Value Chain (Scope 3) Standard. Emissions are categorized into Scope 1 (Direct Emissions), Scope 2 (Energy Indirect Emissions), and Scope 3 (Other Indirect Emissions).</w:t>
      </w:r>
    </w:p>
    <w:p>
      <w:pPr>
        <w:pStyle w:val="BodyText"/>
      </w:pPr>
      <w:r>
        <w:t xml:space="preserve">In line with the</w:t>
      </w:r>
      <w:r>
        <w:t xml:space="preserve"> </w:t>
      </w:r>
      <w:r>
        <w:rPr>
          <w:bCs/>
          <w:b/>
        </w:rPr>
        <w:t xml:space="preserve">2026 GHG Protocol Scope 3 updates</w:t>
      </w:r>
      <w:r>
        <w:t xml:space="preserve">, this report ensures at least 95% coverage of relevant Scope 3 emissions to claim conformance. The analysis has considered all major lifecycle stages where emissions are significant for the product \'sonnrhhdel\'.</w:t>
      </w:r>
    </w:p>
    <w:p>
      <w:pPr>
        <w:pStyle w:val="BodyText"/>
      </w:pPr>
      <w:r>
        <w:t xml:space="preserve">The</w:t>
      </w:r>
      <w:r>
        <w:t xml:space="preserve"> </w:t>
      </w:r>
      <w:r>
        <w:rPr>
          <w:bCs/>
          <w:b/>
        </w:rPr>
        <w:t xml:space="preserve">Land Sector and Removals (LSR) Standard</w:t>
      </w:r>
      <w:r>
        <w:t xml:space="preserve">, published on January 30, 2026, and effective January 1, 2027, is acknowledged. While detailed accompanying guidance is expected in Q2 2026, this report notes the importance of the LSR Standard for entities with significant land sector activities or those choosing to report CO2 removals. As the Bill of Materials does not specify direct agricultural products with readily quantifiable land-use change data within this PCF scope, its full quantitative application is a forward-looking commitment for qzergupxtw, to be integrated as more granular data and guidance become available for their specific supply chain.</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primary and secondary data collected for the PCF of sonnrhhdel.</w:t>
      </w:r>
    </w:p>
    <w:bookmarkStart w:id="28" w:name="Xd9329a8413fc2ae04797e98bd76befc11bf8d1c"/>
    <w:p>
      <w:pPr>
        <w:pStyle w:val="Heading3"/>
      </w:pPr>
      <w:r>
        <w:t xml:space="preserve">2.1. Detailed Bill of Materials (BOM) for sonnrhhdel (nswreqky)</w:t>
      </w:r>
    </w:p>
    <w:p>
      <w:pPr>
        <w:pStyle w:val="FirstParagraph"/>
      </w:pPr>
      <w:r>
        <w:t xml:space="preserve">The Bill of Materials provides a high-accuracy calculation of material impact. The \'Total Carbon (kg CO2e)\' for each item represents the cradle-to-gate emissions associated with its production, integrating raw material extraction and manufacturing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102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104</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7.0</w:t>
            </w:r>
          </w:p>
        </w:tc>
        <w:tc>
          <w:tcPr/>
          <w:p>
            <w:pPr>
              <w:pStyle w:val="Compact"/>
              <w:jc w:val="left"/>
            </w:pPr>
            <w:r>
              <w:t xml:space="preserve">0.56</w:t>
            </w:r>
          </w:p>
        </w:tc>
      </w:tr>
      <w:tr>
        <w:tc>
          <w:tcPr/>
          <w:p>
            <w:pPr>
              <w:pStyle w:val="Compact"/>
              <w:jc w:val="left"/>
            </w:pPr>
            <w:r>
              <w:t xml:space="preserve">105</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106</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107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gridSpan w:val="7"/>
          </w:tcPr>
          <w:p>
            <w:pPr>
              <w:pStyle w:val="Compact"/>
              <w:jc w:val="right"/>
            </w:pPr>
            <w:r>
              <w:rPr>
                <w:bCs/>
                <w:b/>
              </w:rPr>
              <w:t xml:space="preserve">Total Material Carbon Impact:</w:t>
            </w:r>
          </w:p>
        </w:tc>
        <w:tc>
          <w:tcPr/>
          <w:p>
            <w:pPr>
              <w:pStyle w:val="Compact"/>
              <w:jc w:val="left"/>
            </w:pPr>
            <w:r>
              <w:rPr>
                <w:bCs/>
                <w:b/>
              </w:rPr>
              <w:t xml:space="preserve">2.889 kg CO2e</w:t>
            </w:r>
          </w:p>
        </w:tc>
      </w:tr>
    </w:tbl>
    <w:bookmarkEnd w:id="28"/>
    <w:bookmarkStart w:id="29" w:name="energy-inputs-for-production"/>
    <w:p>
      <w:pPr>
        <w:pStyle w:val="Heading3"/>
      </w:pPr>
      <w:r>
        <w:t xml:space="preserve">2.2. Energy Inputs for Production</w:t>
      </w:r>
    </w:p>
    <w:p>
      <w:pPr>
        <w:numPr>
          <w:ilvl w:val="0"/>
          <w:numId w:val="1003"/>
        </w:numPr>
        <w:pStyle w:val="Compact"/>
      </w:pPr>
      <w:r>
        <w:rPr>
          <w:bCs/>
          <w:b/>
        </w:rPr>
        <w:t xml:space="preserve">Energy Intensity (kWh/unit):</w:t>
      </w:r>
      <w:r>
        <w:t xml:space="preserve"> </w:t>
      </w:r>
      <w:r>
        <w:t xml:space="preserve">ysppufworp (10 kWh/unit)</w:t>
      </w:r>
    </w:p>
    <w:p>
      <w:pPr>
        <w:numPr>
          <w:ilvl w:val="0"/>
          <w:numId w:val="1003"/>
        </w:numPr>
        <w:pStyle w:val="Compact"/>
      </w:pPr>
      <w:r>
        <w:rPr>
          <w:bCs/>
          <w:b/>
        </w:rPr>
        <w:t xml:space="preserve">Renewable Energy Usage:</w:t>
      </w:r>
      <w:r>
        <w:t xml:space="preserve"> </w:t>
      </w:r>
      <w:r>
        <w:t xml:space="preserve">ihshwrdlpp (50%)</w:t>
      </w:r>
    </w:p>
    <w:p>
      <w:pPr>
        <w:numPr>
          <w:ilvl w:val="0"/>
          <w:numId w:val="1003"/>
        </w:numPr>
        <w:pStyle w:val="Compact"/>
      </w:pPr>
      <w:r>
        <w:rPr>
          <w:bCs/>
          <w:b/>
        </w:rPr>
        <w:t xml:space="preserve">Non-renewable Electricity Consumption:</w:t>
      </w:r>
      <w:r>
        <w:t xml:space="preserve"> </w:t>
      </w:r>
      <w:r>
        <w:t xml:space="preserve">5 kWh/unit</w:t>
      </w:r>
    </w:p>
    <w:p>
      <w:pPr>
        <w:numPr>
          <w:ilvl w:val="0"/>
          <w:numId w:val="1003"/>
        </w:numPr>
        <w:pStyle w:val="Compact"/>
      </w:pPr>
      <w:r>
        <w:rPr>
          <w:bCs/>
          <w:b/>
        </w:rPr>
        <w:t xml:space="preserve">Electricity Emission Factor (China Grid Mix):</w:t>
      </w:r>
      <w:r>
        <w:t xml:space="preserve"> </w:t>
      </w:r>
      <w:r>
        <w:t xml:space="preserve">0.6 kg CO2e/kWh (estimated for 2026, acknowledging regional variations and projected decline)</w:t>
      </w:r>
    </w:p>
    <w:bookmarkEnd w:id="29"/>
    <w:bookmarkStart w:id="30" w:name="logistics-data"/>
    <w:p>
      <w:pPr>
        <w:pStyle w:val="Heading3"/>
      </w:pPr>
      <w:r>
        <w:t xml:space="preserve">2.3. Logistics Data</w:t>
      </w:r>
    </w:p>
    <w:p>
      <w:pPr>
        <w:pStyle w:val="FirstParagraph"/>
      </w:pPr>
      <w:r>
        <w:t xml:space="preserve">The total product weight for transport calculations is estimated at 0.5 kg per unit of sonnrhhdel.</w:t>
      </w:r>
    </w:p>
    <w:p>
      <w:pPr>
        <w:numPr>
          <w:ilvl w:val="0"/>
          <w:numId w:val="1004"/>
        </w:numPr>
        <w:pStyle w:val="Compact"/>
      </w:pPr>
      <w:r>
        <w:rPr>
          <w:bCs/>
          <w:b/>
        </w:rPr>
        <w:t xml:space="preserve">Inbound Transport (Components/Materials to Factory - Europe Focused to China):</w:t>
      </w:r>
    </w:p>
    <w:p>
      <w:pPr>
        <w:numPr>
          <w:ilvl w:val="1"/>
          <w:numId w:val="1005"/>
        </w:numPr>
        <w:pStyle w:val="Compact"/>
      </w:pPr>
      <w:r>
        <w:rPr>
          <w:bCs/>
          <w:b/>
        </w:rPr>
        <w:t xml:space="preserve">Mode:</w:t>
      </w:r>
      <w:r>
        <w:t xml:space="preserve"> </w:t>
      </w:r>
      <w:r>
        <w:t xml:space="preserve">Road Freight (Heavy Goods Vehicle - HGV)</w:t>
      </w:r>
    </w:p>
    <w:p>
      <w:pPr>
        <w:numPr>
          <w:ilvl w:val="1"/>
          <w:numId w:val="1005"/>
        </w:numPr>
        <w:pStyle w:val="Compact"/>
      </w:pPr>
      <w:r>
        <w:rPr>
          <w:bCs/>
          <w:b/>
        </w:rPr>
        <w:t xml:space="preserve">Distance (ptphditfjy):</w:t>
      </w:r>
      <w:r>
        <w:t xml:space="preserve"> </w:t>
      </w:r>
      <w:r>
        <w:t xml:space="preserve">500 km</w:t>
      </w:r>
    </w:p>
    <w:p>
      <w:pPr>
        <w:numPr>
          <w:ilvl w:val="1"/>
          <w:numId w:val="1005"/>
        </w:numPr>
        <w:pStyle w:val="Compact"/>
      </w:pPr>
      <w:r>
        <w:rPr>
          <w:bCs/>
          <w:b/>
        </w:rPr>
        <w:t xml:space="preserve">Emission Factor:</w:t>
      </w:r>
      <w:r>
        <w:t xml:space="preserve"> </w:t>
      </w:r>
      <w:r>
        <w:t xml:space="preserve">0.08 kg CO2e/tkm (from GLEC/DEFRA for HGV)</w:t>
      </w:r>
    </w:p>
    <w:p>
      <w:pPr>
        <w:numPr>
          <w:ilvl w:val="0"/>
          <w:numId w:val="1004"/>
        </w:numPr>
        <w:pStyle w:val="Compact"/>
      </w:pPr>
      <w:r>
        <w:rPr>
          <w:bCs/>
          <w:b/>
        </w:rPr>
        <w:t xml:space="preserve">Outbound Transport (Finished Product from China to Europe):</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 (ptphditfjy):</w:t>
      </w:r>
      <w:r>
        <w:t xml:space="preserve"> </w:t>
      </w:r>
      <w:r>
        <w:t xml:space="preserve">20,000 km</w:t>
      </w:r>
    </w:p>
    <w:p>
      <w:pPr>
        <w:numPr>
          <w:ilvl w:val="1"/>
          <w:numId w:val="1006"/>
        </w:numPr>
        <w:pStyle w:val="Compact"/>
      </w:pPr>
      <w:r>
        <w:rPr>
          <w:bCs/>
          <w:b/>
        </w:rPr>
        <w:t xml:space="preserve">Emission Factor:</w:t>
      </w:r>
      <w:r>
        <w:t xml:space="preserve"> </w:t>
      </w:r>
      <w:r>
        <w:t xml:space="preserve">0.016 kg CO2e/tkm (from DEFRA/Climatiq for container ships)</w:t>
      </w:r>
    </w:p>
    <w:p>
      <w:pPr>
        <w:numPr>
          <w:ilvl w:val="0"/>
          <w:numId w:val="1004"/>
        </w:numPr>
        <w:pStyle w:val="Compact"/>
      </w:pPr>
      <w:r>
        <w:rPr>
          <w:bCs/>
          <w:b/>
        </w:rPr>
        <w:t xml:space="preserve">Last-Mile Delivery Channel (Delivery Type - within Europe):</w:t>
      </w:r>
    </w:p>
    <w:p>
      <w:pPr>
        <w:numPr>
          <w:ilvl w:val="1"/>
          <w:numId w:val="1007"/>
        </w:numPr>
        <w:pStyle w:val="Compact"/>
      </w:pPr>
      <w:r>
        <w:rPr>
          <w:bCs/>
          <w:b/>
        </w:rPr>
        <w:t xml:space="preserve">Mode:</w:t>
      </w:r>
      <w:r>
        <w:t xml:space="preserve"> </w:t>
      </w:r>
      <w:r>
        <w:t xml:space="preserve">Road Freight (Van)</w:t>
      </w:r>
    </w:p>
    <w:p>
      <w:pPr>
        <w:numPr>
          <w:ilvl w:val="1"/>
          <w:numId w:val="1007"/>
        </w:numPr>
        <w:pStyle w:val="Compact"/>
      </w:pPr>
      <w:r>
        <w:rPr>
          <w:bCs/>
          <w:b/>
        </w:rPr>
        <w:t xml:space="preserve">Distance (ptphditfjy):</w:t>
      </w:r>
      <w:r>
        <w:t xml:space="preserve"> </w:t>
      </w:r>
      <w:r>
        <w:t xml:space="preserve">500 km</w:t>
      </w:r>
    </w:p>
    <w:p>
      <w:pPr>
        <w:numPr>
          <w:ilvl w:val="1"/>
          <w:numId w:val="1007"/>
        </w:numPr>
        <w:pStyle w:val="Compact"/>
      </w:pPr>
      <w:r>
        <w:rPr>
          <w:bCs/>
          <w:b/>
        </w:rPr>
        <w:t xml:space="preserve">Emission Factor:</w:t>
      </w:r>
      <w:r>
        <w:t xml:space="preserve"> </w:t>
      </w:r>
      <w:r>
        <w:t xml:space="preserve">0.15 kg CO2e/tkm (estimated for light commercial vehicles)</w:t>
      </w:r>
    </w:p>
    <w:bookmarkEnd w:id="30"/>
    <w:bookmarkStart w:id="31" w:name="use-phase-data"/>
    <w:p>
      <w:pPr>
        <w:pStyle w:val="Heading3"/>
      </w:pPr>
      <w:r>
        <w:t xml:space="preserve">2.4. Use Phase Data</w:t>
      </w:r>
    </w:p>
    <w:p>
      <w:pPr>
        <w:numPr>
          <w:ilvl w:val="0"/>
          <w:numId w:val="1008"/>
        </w:numPr>
        <w:pStyle w:val="Compact"/>
      </w:pPr>
      <w:r>
        <w:rPr>
          <w:bCs/>
          <w:b/>
        </w:rPr>
        <w:t xml:space="preserve">Product Lifespan (knidyntpyu):</w:t>
      </w:r>
      <w:r>
        <w:t xml:space="preserve"> </w:t>
      </w:r>
      <w:r>
        <w:t xml:space="preserve">5 years</w:t>
      </w:r>
    </w:p>
    <w:p>
      <w:pPr>
        <w:numPr>
          <w:ilvl w:val="0"/>
          <w:numId w:val="1008"/>
        </w:numPr>
        <w:pStyle w:val="Compact"/>
      </w:pPr>
      <w:r>
        <w:rPr>
          <w:bCs/>
          <w:b/>
        </w:rPr>
        <w:t xml:space="preserve">Energy Consumption in Use (urryrqyqtf):</w:t>
      </w:r>
      <w:r>
        <w:t xml:space="preserve"> </w:t>
      </w:r>
      <w:r>
        <w:t xml:space="preserve">20 kWh/year</w:t>
      </w:r>
    </w:p>
    <w:p>
      <w:pPr>
        <w:numPr>
          <w:ilvl w:val="0"/>
          <w:numId w:val="1008"/>
        </w:numPr>
        <w:pStyle w:val="Compact"/>
      </w:pPr>
      <w:r>
        <w:rPr>
          <w:bCs/>
          <w:b/>
        </w:rPr>
        <w:t xml:space="preserve">Total Energy Consumption over Lifespan:</w:t>
      </w:r>
      <w:r>
        <w:t xml:space="preserve"> </w:t>
      </w:r>
      <w:r>
        <w:t xml:space="preserve">100 kWh</w:t>
      </w:r>
    </w:p>
    <w:p>
      <w:pPr>
        <w:numPr>
          <w:ilvl w:val="0"/>
          <w:numId w:val="1008"/>
        </w:numPr>
        <w:pStyle w:val="Compact"/>
      </w:pPr>
      <w:r>
        <w:rPr>
          <w:bCs/>
          <w:b/>
        </w:rPr>
        <w:t xml:space="preserve">Electricity Emission Factor (Europe Grid Mix):</w:t>
      </w:r>
      <w:r>
        <w:t xml:space="preserve"> </w:t>
      </w:r>
      <w:r>
        <w:t xml:space="preserve">0.25 kg CO2e/kWh (estimated average for Europe)</w:t>
      </w:r>
    </w:p>
    <w:bookmarkEnd w:id="31"/>
    <w:bookmarkStart w:id="32" w:name="end-of-life-eol-scenarios"/>
    <w:p>
      <w:pPr>
        <w:pStyle w:val="Heading3"/>
      </w:pPr>
      <w:r>
        <w:t xml:space="preserve">2.5. End-of-Life (EoL) Scenarios</w:t>
      </w:r>
    </w:p>
    <w:p>
      <w:pPr>
        <w:numPr>
          <w:ilvl w:val="0"/>
          <w:numId w:val="1009"/>
        </w:numPr>
        <w:pStyle w:val="Compact"/>
      </w:pPr>
      <w:r>
        <w:rPr>
          <w:bCs/>
          <w:b/>
        </w:rPr>
        <w:t xml:space="preserve">Recyclability Percentage (xdkrmphuky):</w:t>
      </w:r>
      <w:r>
        <w:t xml:space="preserve"> </w:t>
      </w:r>
      <w:r>
        <w:t xml:space="preserve">70%</w:t>
      </w:r>
    </w:p>
    <w:p>
      <w:pPr>
        <w:numPr>
          <w:ilvl w:val="0"/>
          <w:numId w:val="1009"/>
        </w:numPr>
        <w:pStyle w:val="Compact"/>
      </w:pPr>
      <w:r>
        <w:rPr>
          <w:bCs/>
          <w:b/>
        </w:rPr>
        <w:t xml:space="preserve">Circular/Take-back Programs (vmonsepsrl):</w:t>
      </w:r>
      <w:r>
        <w:t xml:space="preserve"> </w:t>
      </w:r>
      <w:r>
        <w:t xml:space="preserve">Yes, operational.</w:t>
      </w:r>
    </w:p>
    <w:p>
      <w:pPr>
        <w:numPr>
          <w:ilvl w:val="0"/>
          <w:numId w:val="1009"/>
        </w:numPr>
        <w:pStyle w:val="Compact"/>
      </w:pPr>
      <w:r>
        <w:rPr>
          <w:bCs/>
          <w:b/>
        </w:rPr>
        <w:t xml:space="preserve">Non-recycled Waste:</w:t>
      </w:r>
      <w:r>
        <w:t xml:space="preserve"> </w:t>
      </w:r>
      <w:r>
        <w:t xml:space="preserve">30% of product weight (0.15 kg)</w:t>
      </w:r>
    </w:p>
    <w:p>
      <w:pPr>
        <w:numPr>
          <w:ilvl w:val="0"/>
          <w:numId w:val="1009"/>
        </w:numPr>
        <w:pStyle w:val="Compact"/>
      </w:pPr>
      <w:r>
        <w:rPr>
          <w:bCs/>
          <w:b/>
        </w:rPr>
        <w:t xml:space="preserve">EoL Emission Factor (Landfill/Incineration):</w:t>
      </w:r>
      <w:r>
        <w:t xml:space="preserve"> </w:t>
      </w:r>
      <w:r>
        <w:t xml:space="preserve">0.15 kg CO2e/kg (estimated for mixed waste, factoring transport and fugitive emissions)</w:t>
      </w:r>
    </w:p>
    <w:p>
      <w:r>
        <w:pict>
          <v:rect style="width:0;height:1.5pt" o:hralign="center" o:hrstd="t" o:hr="t"/>
        </w:pict>
      </w:r>
    </w:p>
    <w:bookmarkEnd w:id="32"/>
    <w:bookmarkEnd w:id="33"/>
    <w:bookmarkStart w:id="39" w:name="Xdd0f433185fde5fd9508eee9e1e7bcaa542b608"/>
    <w:p>
      <w:pPr>
        <w:pStyle w:val="Heading2"/>
      </w:pPr>
      <w:r>
        <w:t xml:space="preserve">4. Emission Calculation and GHG Protocol Categorization</w:t>
      </w:r>
    </w:p>
    <w:p>
      <w:pPr>
        <w:pStyle w:val="FirstParagraph"/>
      </w:pPr>
      <w:r>
        <w:t xml:space="preserve">Emissions for each lifecycle stage have been calculated by multiplying activity data by relevant emission factors. These have been categorized according to the GHG Protocol.</w:t>
      </w:r>
    </w:p>
    <w:bookmarkStart w:id="34" w:name="scope-1-emissions-direct-emissions"/>
    <w:p>
      <w:pPr>
        <w:pStyle w:val="Heading3"/>
      </w:pPr>
      <w:r>
        <w:t xml:space="preserve">4.1. Scope 1 Emissions (Direct Emissions)</w:t>
      </w:r>
    </w:p>
    <w:p>
      <w:pPr>
        <w:pStyle w:val="FirstParagraph"/>
      </w:pPr>
      <w:r>
        <w:t xml:space="preserve">Within the "factory_gate" system boundary for product-level PCF, direct Scope 1 emissions (e.g., from on-site fuel combustion owned or controlled by qzergupxtw for manufacturing processes) are assumed to be negligible or covered within the upstream material/process emission factors provided in the BOM. No specific direct fuel consumption for manufacturing (Scope 1) was provided in the parameters.</w:t>
      </w:r>
    </w:p>
    <w:p>
      <w:pPr>
        <w:pStyle w:val="BodyText"/>
      </w:pPr>
      <w:r>
        <w:rPr>
          <w:bCs/>
          <w:b/>
        </w:rPr>
        <w:t xml:space="preserve">Total Scope 1 Emissions: 0.000 kg CO2e</w:t>
      </w:r>
    </w:p>
    <w:bookmarkEnd w:id="34"/>
    <w:bookmarkStart w:id="35" w:name="X2d8d685b47aa894fb1e052b68fb751e5e9e47f0"/>
    <w:p>
      <w:pPr>
        <w:pStyle w:val="Heading3"/>
      </w:pPr>
      <w:r>
        <w:t xml:space="preserve">4.2. Scope 2 Emissions (Energy Indirect Emissions)</w:t>
      </w:r>
    </w:p>
    <w:p>
      <w:pPr>
        <w:pStyle w:val="FirstParagraph"/>
      </w:pPr>
      <w:r>
        <w:t xml:space="preserve">These emissions result from the generation of purchased electricity consumed by qzergupxtw for manufacturing sonnrhhdel.</w:t>
      </w:r>
    </w:p>
    <w:p>
      <w:pPr>
        <w:numPr>
          <w:ilvl w:val="0"/>
          <w:numId w:val="1010"/>
        </w:numPr>
        <w:pStyle w:val="Compact"/>
      </w:pPr>
      <w:r>
        <w:t xml:space="preserve">Manufacturing Energy Consumption (Non-renewable): 5 kWh/unit</w:t>
      </w:r>
    </w:p>
    <w:p>
      <w:pPr>
        <w:numPr>
          <w:ilvl w:val="0"/>
          <w:numId w:val="1010"/>
        </w:numPr>
        <w:pStyle w:val="Compact"/>
      </w:pPr>
      <w:r>
        <w:t xml:space="preserve">Electricity Emission Factor (China Grid Mix): 0.6 kg CO2e/kWh</w:t>
      </w:r>
    </w:p>
    <w:p>
      <w:pPr>
        <w:numPr>
          <w:ilvl w:val="0"/>
          <w:numId w:val="1010"/>
        </w:numPr>
        <w:pStyle w:val="Compact"/>
      </w:pPr>
      <w:r>
        <w:rPr>
          <w:bCs/>
          <w:b/>
        </w:rPr>
        <w:t xml:space="preserve">Scope 2 Emissions:</w:t>
      </w:r>
      <w:r>
        <w:t xml:space="preserve"> </w:t>
      </w:r>
      <w:r>
        <w:t xml:space="preserve">5 kWh/unit * 0.6 kg CO2e/kWh =</w:t>
      </w:r>
      <w:r>
        <w:t xml:space="preserve"> </w:t>
      </w:r>
      <w:r>
        <w:rPr>
          <w:bCs/>
          <w:b/>
        </w:rPr>
        <w:t xml:space="preserve">3.000 kg CO2e</w:t>
      </w:r>
    </w:p>
    <w:bookmarkEnd w:id="35"/>
    <w:bookmarkStart w:id="38" w:name="Xa4ae47cf428664338de6136b1752768d982738f"/>
    <w:p>
      <w:pPr>
        <w:pStyle w:val="Heading3"/>
      </w:pPr>
      <w:r>
        <w:t xml:space="preserve">4.3. Scope 3 Emissions (Other Indirect Emissions - Value Chain)</w:t>
      </w:r>
    </w:p>
    <w:p>
      <w:pPr>
        <w:pStyle w:val="FirstParagraph"/>
      </w:pPr>
      <w:r>
        <w:t xml:space="preserve">Scope 3 emissions cover all other indirect emissions both upstream and downstream in the value chain.</w:t>
      </w:r>
    </w:p>
    <w:bookmarkStart w:id="36" w:name="X90acbc0bd52015f591fc831b59a74377670b98b"/>
    <w:p>
      <w:pPr>
        <w:pStyle w:val="Heading4"/>
      </w:pPr>
      <w:r>
        <w:t xml:space="preserve">4.3.1. Upstream Emissions (GHG Protocol Category 1 &amp; 4)</w:t>
      </w:r>
    </w:p>
    <w:p>
      <w:pPr>
        <w:pStyle w:val="FirstParagraph"/>
      </w:pPr>
      <w:r>
        <w:rPr>
          <w:bCs/>
          <w:b/>
        </w:rPr>
        <w:t xml:space="preserve">Purchased Goods and Services (Materials - Category 1):</w:t>
      </w:r>
    </w:p>
    <w:p>
      <w:pPr>
        <w:numPr>
          <w:ilvl w:val="0"/>
          <w:numId w:val="1011"/>
        </w:numPr>
        <w:pStyle w:val="Compact"/>
      </w:pPr>
      <w:r>
        <w:t xml:space="preserve">Total Material Carbon Impact (from BOM): 2.889 kg CO2e</w:t>
      </w:r>
    </w:p>
    <w:p>
      <w:pPr>
        <w:pStyle w:val="FirstParagraph"/>
      </w:pPr>
      <w:r>
        <w:rPr>
          <w:bCs/>
          <w:b/>
        </w:rPr>
        <w:t xml:space="preserve">Upstream Transportation and Distribution (Category 4):</w:t>
      </w:r>
    </w:p>
    <w:p>
      <w:pPr>
        <w:numPr>
          <w:ilvl w:val="0"/>
          <w:numId w:val="1012"/>
        </w:numPr>
        <w:pStyle w:val="Compact"/>
      </w:pPr>
      <w:r>
        <w:t xml:space="preserve">Inbound Road Freight: (0.5 kg * 500 km * 0.08 kg CO2e/tkm) / 1000 = 0.020 kg CO2e</w:t>
      </w:r>
    </w:p>
    <w:p>
      <w:pPr>
        <w:pStyle w:val="FirstParagraph"/>
      </w:pPr>
      <w:r>
        <w:rPr>
          <w:bCs/>
          <w:b/>
        </w:rPr>
        <w:t xml:space="preserve">Total Upstream Emissions (Scope 3): 2.889 + 0.020 = 2.909 kg CO2e</w:t>
      </w:r>
    </w:p>
    <w:bookmarkEnd w:id="36"/>
    <w:bookmarkStart w:id="37" w:name="X468bbbb3badce2bceae476c6d5163d367f7039f"/>
    <w:p>
      <w:pPr>
        <w:pStyle w:val="Heading4"/>
      </w:pPr>
      <w:r>
        <w:t xml:space="preserve">4.3.2. Downstream Emissions (GHG Protocol Category 9, 11, &amp; 12)</w:t>
      </w:r>
    </w:p>
    <w:p>
      <w:pPr>
        <w:pStyle w:val="FirstParagraph"/>
      </w:pPr>
      <w:r>
        <w:rPr>
          <w:bCs/>
          <w:b/>
        </w:rPr>
        <w:t xml:space="preserve">Downstream Transportation and Distribution (Category 9):</w:t>
      </w:r>
    </w:p>
    <w:p>
      <w:pPr>
        <w:numPr>
          <w:ilvl w:val="0"/>
          <w:numId w:val="1013"/>
        </w:numPr>
        <w:pStyle w:val="Compact"/>
      </w:pPr>
      <w:r>
        <w:t xml:space="preserve">Outbound Ocean Freight: (0.5 kg * 20,000 km * 0.016 kg CO2e/tkm) / 1000 = 0.160 kg CO2e</w:t>
      </w:r>
    </w:p>
    <w:p>
      <w:pPr>
        <w:numPr>
          <w:ilvl w:val="0"/>
          <w:numId w:val="1013"/>
        </w:numPr>
        <w:pStyle w:val="Compact"/>
      </w:pPr>
      <w:r>
        <w:t xml:space="preserve">Last-Mile Delivery (Road Van): (0.5 kg * 500 km * 0.15 kg CO2e/tkm) / 1000 = 0.038 kg CO2e</w:t>
      </w:r>
    </w:p>
    <w:p>
      <w:pPr>
        <w:pStyle w:val="FirstParagraph"/>
      </w:pPr>
      <w:r>
        <w:rPr>
          <w:bCs/>
          <w:b/>
        </w:rPr>
        <w:t xml:space="preserve">Use of Sold Products (Category 11):</w:t>
      </w:r>
    </w:p>
    <w:p>
      <w:pPr>
        <w:numPr>
          <w:ilvl w:val="0"/>
          <w:numId w:val="1014"/>
        </w:numPr>
        <w:pStyle w:val="Compact"/>
      </w:pPr>
      <w:r>
        <w:t xml:space="preserve">Total Use Phase Energy: 100 kWh</w:t>
      </w:r>
    </w:p>
    <w:p>
      <w:pPr>
        <w:numPr>
          <w:ilvl w:val="0"/>
          <w:numId w:val="1014"/>
        </w:numPr>
        <w:pStyle w:val="Compact"/>
      </w:pPr>
      <w:r>
        <w:t xml:space="preserve">Electricity Emission Factor (Europe Grid Mix): 0.25 kg CO2e/kWh</w:t>
      </w:r>
    </w:p>
    <w:p>
      <w:pPr>
        <w:numPr>
          <w:ilvl w:val="0"/>
          <w:numId w:val="1014"/>
        </w:numPr>
        <w:pStyle w:val="Compact"/>
      </w:pPr>
      <w:r>
        <w:t xml:space="preserve">Use Phase Emissions: 100 kWh * 0.25 kg CO2e/kWh = 25.000 kg CO2e</w:t>
      </w:r>
    </w:p>
    <w:p>
      <w:pPr>
        <w:pStyle w:val="FirstParagraph"/>
      </w:pPr>
      <w:r>
        <w:rPr>
          <w:bCs/>
          <w:b/>
        </w:rPr>
        <w:t xml:space="preserve">End-of-Life Treatment of Sold Products (Category 12):</w:t>
      </w:r>
    </w:p>
    <w:p>
      <w:pPr>
        <w:numPr>
          <w:ilvl w:val="0"/>
          <w:numId w:val="1015"/>
        </w:numPr>
        <w:pStyle w:val="Compact"/>
      </w:pPr>
      <w:r>
        <w:t xml:space="preserve">Non-recycled Waste: 0.15 kg</w:t>
      </w:r>
    </w:p>
    <w:p>
      <w:pPr>
        <w:numPr>
          <w:ilvl w:val="0"/>
          <w:numId w:val="1015"/>
        </w:numPr>
        <w:pStyle w:val="Compact"/>
      </w:pPr>
      <w:r>
        <w:t xml:space="preserve">EoL Emission Factor (Landfill/Incineration): 0.15 kg CO2e/kg</w:t>
      </w:r>
    </w:p>
    <w:p>
      <w:pPr>
        <w:numPr>
          <w:ilvl w:val="0"/>
          <w:numId w:val="1015"/>
        </w:numPr>
        <w:pStyle w:val="Compact"/>
      </w:pPr>
      <w:r>
        <w:t xml:space="preserve">EoL Emissions: 0.15 kg * 0.15 kg CO2e/kg = 0.023 kg CO2e</w:t>
      </w:r>
    </w:p>
    <w:p>
      <w:pPr>
        <w:numPr>
          <w:ilvl w:val="0"/>
          <w:numId w:val="1015"/>
        </w:numPr>
        <w:pStyle w:val="Compact"/>
      </w:pPr>
      <w:r>
        <w:t xml:space="preserve">The operational circular/take-back programs (vmonsepsrl) significantly mitigate EoL impacts, which are reflected in the high recyclability percentage and reduced waste destined for landfill/incineration.</w:t>
      </w:r>
    </w:p>
    <w:p>
      <w:pPr>
        <w:pStyle w:val="FirstParagraph"/>
      </w:pPr>
      <w:r>
        <w:rPr>
          <w:bCs/>
          <w:b/>
        </w:rPr>
        <w:t xml:space="preserve">Total Downstream Emissions (Scope 3): 0.160 + 0.038 + 25.000 + 0.023 = 25.221 kg CO2e</w:t>
      </w:r>
    </w:p>
    <w:p>
      <w:pPr>
        <w:pStyle w:val="BodyText"/>
      </w:pPr>
      <w:r>
        <w:rPr>
          <w:bCs/>
          <w:b/>
        </w:rPr>
        <w:t xml:space="preserve">Total Scope 3 Emissions: 2.909 + 25.221 = 28.130 kg CO2e</w:t>
      </w:r>
    </w:p>
    <w:p>
      <w:r>
        <w:pict>
          <v:rect style="width:0;height:1.5pt" o:hralign="center" o:hrstd="t" o:hr="t"/>
        </w:pict>
      </w:r>
    </w:p>
    <w:bookmarkEnd w:id="37"/>
    <w:bookmarkEnd w:id="38"/>
    <w:bookmarkEnd w:id="39"/>
    <w:bookmarkStart w:id="40" w:name="product-carbon-footprint-summary"/>
    <w:p>
      <w:pPr>
        <w:pStyle w:val="Heading2"/>
      </w:pPr>
      <w:r>
        <w:t xml:space="preserve">5. Product Carbon Footprint Summary</w:t>
      </w:r>
    </w:p>
    <w:p>
      <w:pPr>
        <w:pStyle w:val="FirstParagraph"/>
      </w:pPr>
      <w:r>
        <w:t xml:space="preserve">The total Product Carbon Footprint for one functional unit of sonnrhhdel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3.000</w:t>
            </w:r>
          </w:p>
        </w:tc>
        <w:tc>
          <w:tcPr/>
          <w:p>
            <w:pPr>
              <w:pStyle w:val="Compact"/>
              <w:jc w:val="left"/>
            </w:pPr>
            <w:r>
              <w:t xml:space="preserve">9.64%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2.889</w:t>
            </w:r>
          </w:p>
        </w:tc>
        <w:tc>
          <w:tcPr/>
          <w:p>
            <w:pPr>
              <w:pStyle w:val="Compact"/>
              <w:jc w:val="left"/>
            </w:pPr>
            <w:r>
              <w:t xml:space="preserve">9.28%</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0.020</w:t>
            </w:r>
          </w:p>
        </w:tc>
        <w:tc>
          <w:tcPr/>
          <w:p>
            <w:pPr>
              <w:pStyle w:val="Compact"/>
              <w:jc w:val="left"/>
            </w:pPr>
            <w:r>
              <w:t xml:space="preserve">0.06%</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0.198</w:t>
            </w:r>
          </w:p>
        </w:tc>
        <w:tc>
          <w:tcPr/>
          <w:p>
            <w:pPr>
              <w:pStyle w:val="Compact"/>
              <w:jc w:val="left"/>
            </w:pPr>
            <w:r>
              <w:t xml:space="preserve">0.64%</w:t>
            </w:r>
          </w:p>
        </w:tc>
      </w:tr>
      <w:tr>
        <w:tc>
          <w:tcPr>
            <w:gridSpan w:val="1"/>
            <w:vMerge w:val="continue"/>
          </w:tcPr>
          <w:p>
            <w:pPr/>
          </w:p>
        </w:tc>
        <w:tc>
          <w:tcPr/>
          <w:p>
            <w:pPr>
              <w:pStyle w:val="Compact"/>
              <w:jc w:val="left"/>
            </w:pPr>
            <w:r>
              <w:t xml:space="preserve">Use of Sold Products &amp; End-of-Life</w:t>
            </w:r>
          </w:p>
        </w:tc>
        <w:tc>
          <w:tcPr/>
          <w:p>
            <w:pPr>
              <w:pStyle w:val="Compact"/>
              <w:jc w:val="left"/>
            </w:pPr>
            <w:r>
              <w:t xml:space="preserve">25.023</w:t>
            </w:r>
          </w:p>
        </w:tc>
        <w:tc>
          <w:tcPr/>
          <w:p>
            <w:pPr>
              <w:pStyle w:val="Compact"/>
              <w:jc w:val="left"/>
            </w:pPr>
            <w:r>
              <w:t xml:space="preserve">80.39%</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31.129</w:t>
            </w:r>
          </w:p>
        </w:tc>
        <w:tc>
          <w:tcPr/>
          <w:p>
            <w:pPr>
              <w:pStyle w:val="Compact"/>
              <w:jc w:val="left"/>
            </w:pPr>
            <w:r>
              <w:rPr>
                <w:bCs/>
                <w:b/>
              </w:rPr>
              <w:t xml:space="preserve">100.00%</w:t>
            </w:r>
          </w:p>
        </w:tc>
      </w:tr>
    </w:tbl>
    <w:p>
      <w:r>
        <w:pict>
          <v:rect style="width:0;height:1.5pt" o:hralign="center" o:hrstd="t" o:hr="t"/>
        </w:pict>
      </w:r>
    </w:p>
    <w:bookmarkEnd w:id="40"/>
    <w:bookmarkStart w:id="43" w:name="X26295a112c9bc2ab5a42b3a4866845f69c4357a"/>
    <w:p>
      <w:pPr>
        <w:pStyle w:val="Heading2"/>
      </w:pPr>
      <w:r>
        <w:t xml:space="preserve">6. Review &amp; Reporting: Hotspots and Reliability</w:t>
      </w:r>
    </w:p>
    <w:bookmarkStart w:id="41" w:name="emission-hotspots"/>
    <w:p>
      <w:pPr>
        <w:pStyle w:val="Heading3"/>
      </w:pPr>
      <w:r>
        <w:t xml:space="preserve">6.1. Emission Hotspots</w:t>
      </w:r>
    </w:p>
    <w:p>
      <w:pPr>
        <w:pStyle w:val="FirstParagraph"/>
      </w:pPr>
      <w:r>
        <w:t xml:space="preserve">The analysis clearly identifies the</w:t>
      </w:r>
      <w:r>
        <w:t xml:space="preserve"> </w:t>
      </w:r>
      <w:r>
        <w:rPr>
          <w:bCs/>
          <w:b/>
        </w:rPr>
        <w:t xml:space="preserve">Use Phase of the product as the most significant hotspot</w:t>
      </w:r>
      <w:r>
        <w:t xml:space="preserve">, contributing approximately 80.39% of the total PCF. This is primarily driven by the energy consumption of sonnrhhdel over its 5-year lifespan.</w:t>
      </w:r>
    </w:p>
    <w:p>
      <w:pPr>
        <w:pStyle w:val="BodyText"/>
      </w:pPr>
      <w:r>
        <w:t xml:space="preserve">Other notable hotspots include:</w:t>
      </w:r>
    </w:p>
    <w:p>
      <w:pPr>
        <w:numPr>
          <w:ilvl w:val="0"/>
          <w:numId w:val="1016"/>
        </w:numPr>
        <w:pStyle w:val="Compact"/>
      </w:pPr>
      <w:r>
        <w:rPr>
          <w:bCs/>
          <w:b/>
        </w:rPr>
        <w:t xml:space="preserve">Manufacturing Energy (Scope 2):</w:t>
      </w:r>
      <w:r>
        <w:t xml:space="preserve"> </w:t>
      </w:r>
      <w:r>
        <w:t xml:space="preserve">9.64%, primarily due to the electricity consumption during production in China, despite 50% renewable energy usage.</w:t>
      </w:r>
    </w:p>
    <w:p>
      <w:pPr>
        <w:numPr>
          <w:ilvl w:val="0"/>
          <w:numId w:val="1016"/>
        </w:numPr>
        <w:pStyle w:val="Compact"/>
      </w:pPr>
      <w:r>
        <w:rPr>
          <w:bCs/>
          <w:b/>
        </w:rPr>
        <w:t xml:space="preserve">Purchased Goods &amp; Services (Materials - Scope 3):</w:t>
      </w:r>
      <w:r>
        <w:t xml:space="preserve"> </w:t>
      </w:r>
      <w:r>
        <w:t xml:space="preserve">9.28%, highlighting the embodied emissions in the components and raw materials of sonnrhhdel.</w:t>
      </w:r>
    </w:p>
    <w:bookmarkEnd w:id="41"/>
    <w:bookmarkStart w:id="42" w:name="reliability-and-future-improvements"/>
    <w:p>
      <w:pPr>
        <w:pStyle w:val="Heading3"/>
      </w:pPr>
      <w:r>
        <w:t xml:space="preserve">6.2. Reliability and Future Improvements</w:t>
      </w:r>
    </w:p>
    <w:p>
      <w:pPr>
        <w:pStyle w:val="FirstParagraph"/>
      </w:pPr>
      <w:r>
        <w:t xml:space="preserve">The reliability of this PCF is considered high, especially for material impacts due to the detailed Bill of Materials (nswreqky) provided. Emissions for transport, manufacturing energy, use phase, and end-of-life are based on industry-standard (e.g., GLEC, DEFRA, IEA, Climatiq) and publicly available emission factors, as well as specific parameters provided (ptphditfjy, ihshwrdlpp, ysppufworp, knidyntpyu, urryrqyqtf, xdkrmphuky, vmonsepsrl).</w:t>
      </w:r>
    </w:p>
    <w:p>
      <w:pPr>
        <w:numPr>
          <w:ilvl w:val="0"/>
          <w:numId w:val="1017"/>
        </w:numPr>
        <w:pStyle w:val="Compact"/>
      </w:pPr>
      <w:r>
        <w:rPr>
          <w:bCs/>
          <w:b/>
        </w:rPr>
        <w:t xml:space="preserve">Data Disaggregation:</w:t>
      </w:r>
      <w:r>
        <w:t xml:space="preserve"> </w:t>
      </w:r>
      <w:r>
        <w:t xml:space="preserve">Future reports will aim to further disaggregate data by source type (primary vs. secondary) for each Scope 3 category, as mandated by the 2026 GHG Protocol revisions, to enhance transparency and data quality.</w:t>
      </w:r>
    </w:p>
    <w:p>
      <w:pPr>
        <w:numPr>
          <w:ilvl w:val="0"/>
          <w:numId w:val="1017"/>
        </w:numPr>
        <w:pStyle w:val="Compact"/>
      </w:pPr>
      <w:r>
        <w:rPr>
          <w:bCs/>
          <w:b/>
        </w:rPr>
        <w:t xml:space="preserve">Primary Data:</w:t>
      </w:r>
      <w:r>
        <w:t xml:space="preserve"> </w:t>
      </w:r>
      <w:r>
        <w:t xml:space="preserve">While secondary data was used for some emission factors, qzergupxtw should strive to collect more primary data from its supply chain partners for specific material production and transportation, especially for high-impact components.</w:t>
      </w:r>
    </w:p>
    <w:p>
      <w:pPr>
        <w:numPr>
          <w:ilvl w:val="0"/>
          <w:numId w:val="1017"/>
        </w:numPr>
        <w:pStyle w:val="Compact"/>
      </w:pPr>
      <w:r>
        <w:rPr>
          <w:bCs/>
          <w:b/>
        </w:rPr>
        <w:t xml:space="preserve">LSR Standard Integration:</w:t>
      </w:r>
      <w:r>
        <w:t xml:space="preserve"> </w:t>
      </w:r>
      <w:r>
        <w:t xml:space="preserve">As the GHG Protocol\'s Land Sector and Removals (LSR) Standard becomes effective on January 1, 2027, and accompanying guidance is released, qzergupxtw commits to integrating its requirements for any agricultural inputs or land-use related emissions within its value chain.</w:t>
      </w:r>
    </w:p>
    <w:p>
      <w:pPr>
        <w:numPr>
          <w:ilvl w:val="0"/>
          <w:numId w:val="1017"/>
        </w:numPr>
        <w:pStyle w:val="Compact"/>
      </w:pPr>
      <w:r>
        <w:rPr>
          <w:bCs/>
          <w:b/>
        </w:rPr>
        <w:t xml:space="preserve">Use Phase Optimization:</w:t>
      </w:r>
      <w:r>
        <w:t xml:space="preserve"> </w:t>
      </w:r>
      <w:r>
        <w:t xml:space="preserve">Given the significant impact of the use phase, future efforts should focus on designing more energy-efficient products, exploring alternative energy sources for users, and educating consumers on sustainable use.</w:t>
      </w:r>
    </w:p>
    <w:p>
      <w:pPr>
        <w:numPr>
          <w:ilvl w:val="0"/>
          <w:numId w:val="1017"/>
        </w:numPr>
        <w:pStyle w:val="Compact"/>
      </w:pPr>
      <w:r>
        <w:rPr>
          <w:bCs/>
          <w:b/>
        </w:rPr>
        <w:t xml:space="preserve">Circular Economy Impact:</w:t>
      </w:r>
      <w:r>
        <w:t xml:space="preserve"> </w:t>
      </w:r>
      <w:r>
        <w:t xml:space="preserve">The existing circular/take-back programs are commendable. Continuous efforts to increase recyclability and material circularity will further reduce end-of-life impacts and potentially displace virgin material production.</w:t>
      </w:r>
    </w:p>
    <w:p>
      <w:pPr>
        <w:pStyle w:val="FirstParagraph"/>
      </w:pPr>
      <w:r>
        <w:t xml:space="preserve">This comprehensive PCF provides qzergupxtw with actionable insights to prioritize emission reduction efforts for sonnrhhdel and align with evolving global sustainability reporting requirements.</w:t>
      </w:r>
    </w:p>
    <w:p>
      <w:pPr>
        <w:pStyle w:val="BodyText"/>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sonnrhhdel</dc:title>
  <dc:creator/>
  <dc:description>Product Carbon Footprint (PCF) Analysis Report for sonnrhhdel, prepared for qzergupxtw by zwqkrsphss, specializing in GHG Protocol.</dc:description>
  <dc:language>en</dc:language>
  <cp:keywords/>
  <dcterms:created xsi:type="dcterms:W3CDTF">2026-05-30T12:40:33Z</dcterms:created>
  <dcterms:modified xsi:type="dcterms:W3CDTF">2026-05-30T12:40:33Z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