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snwwpsdvnr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snwwpsdvnr</w:t>
      </w:r>
    </w:p>
    <w:p>
      <w:pPr>
        <w:pStyle w:val="BodyText"/>
      </w:pPr>
      <w:r>
        <w:rPr>
          <w:bCs/>
          <w:b/>
        </w:rPr>
        <w:t xml:space="preserve">Company Name:</w:t>
      </w:r>
      <w:r>
        <w:t xml:space="preserve"> </w:t>
      </w:r>
      <w:r>
        <w:t xml:space="preserve">jtzduenuxi</w:t>
      </w:r>
    </w:p>
    <w:p>
      <w:pPr>
        <w:pStyle w:val="BodyText"/>
      </w:pPr>
      <w:r>
        <w:rPr>
          <w:bCs/>
          <w:b/>
        </w:rPr>
        <w:t xml:space="preserve">Senior Sustainability Consultant:</w:t>
      </w:r>
      <w:r>
        <w:t xml:space="preserve"> </w:t>
      </w:r>
      <w:r>
        <w:t xml:space="preserve">dhdonoozpf</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limitations of data availability and assumptions made.</w:t>
      </w:r>
    </w:p>
    <w:bookmarkEnd w:id="20"/>
    <w:bookmarkStart w:id="21" w:name="product-carbon-footprint-analysis-report"/>
    <w:p>
      <w:pPr>
        <w:pStyle w:val="Heading1"/>
      </w:pPr>
      <w:r>
        <w:t xml:space="preserve">Product Carbon Footprint Analysis Report</w:t>
      </w:r>
    </w:p>
    <w:p>
      <w:pPr>
        <w:pStyle w:val="FirstParagraph"/>
      </w:pPr>
      <w:r>
        <w:t xml:space="preserve">Product: snwwpsdvnr</w:t>
      </w:r>
    </w:p>
    <w:p>
      <w:pPr>
        <w:pStyle w:val="BodyText"/>
      </w:pPr>
      <w:r>
        <w:t xml:space="preserve">Generated Date: May 21, 2026</w:t>
      </w:r>
    </w:p>
    <w:p>
      <w:pPr>
        <w:pStyle w:val="BodyText"/>
      </w:pPr>
      <w:r>
        <w:t xml:space="preserve">Prepared by: dhdonoozpf, Senior Sustainability Consultant</w:t>
      </w:r>
    </w:p>
    <w:p>
      <w:pPr>
        <w:pStyle w:val="BodyText"/>
      </w:pPr>
      <w:r>
        <w:t xml:space="preserve">For: jtzduenuxi</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"snwwpsdvnr," manufactured by "jtzduenuxi." The analysis was conducted by Senior Sustainability Consultant "dhdonoozpf" in accordance with the GHG Protocol Product Standard. The aim is to quantify the greenhouse gas (GHG) emissions associated with the product\'s entire lifecycle, from raw material acquisition through manufacturing, transport, use, and end-of-life, to identify key emission hotspots and inform sustainability strategies. The study incorporates specific bill of materials (BOM) data, energy usage, transport logistics, and end-of-life scenarios to provide a comprehensive and accurate footprint.</w:t>
      </w:r>
    </w:p>
    <w:p>
      <w:r>
        <w:pict>
          <v:rect style="width:0;height:1.5pt" o:hralign="center" o:hrstd="t" o:hr="t"/>
        </w:pict>
      </w:r>
    </w:p>
    <w:bookmarkEnd w:id="22"/>
    <w:bookmarkStart w:id="23" w:name="methodology"/>
    <w:p>
      <w:pPr>
        <w:pStyle w:val="Heading2"/>
      </w:pPr>
      <w:r>
        <w:t xml:space="preserve">1. Methodology</w:t>
      </w:r>
    </w:p>
    <w:p>
      <w:pPr>
        <w:pStyle w:val="FirstParagraph"/>
      </w:pPr>
      <w:r>
        <w:t xml:space="preserve">The Product Carbon Footprint (PCF) analysis for snwwpsdvnr was performed following the five-step methodology prescribed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and map all relevant processes and stages within the product\'s lifecycle that contribute to GHG emissions.</w:t>
      </w:r>
    </w:p>
    <w:p>
      <w:pPr>
        <w:numPr>
          <w:ilvl w:val="0"/>
          <w:numId w:val="1001"/>
        </w:numPr>
        <w:pStyle w:val="Compact"/>
      </w:pPr>
      <w:r>
        <w:rPr>
          <w:bCs/>
          <w:b/>
        </w:rPr>
        <w:t xml:space="preserve">Collect Data:</w:t>
      </w:r>
      <w:r>
        <w:t xml:space="preserve"> </w:t>
      </w:r>
      <w:r>
        <w:t xml:space="preserve">Gather both primary (company-specific) and secondary (industry average) data points for all identified inputs and outputs across the lifecycle.</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Data × Emission Factor = CO2e). Emissions are categorized into Scope 1, Scope 2, and Scope 3 according to the GHG Protocol.</w:t>
      </w:r>
    </w:p>
    <w:p>
      <w:pPr>
        <w:numPr>
          <w:ilvl w:val="0"/>
          <w:numId w:val="1001"/>
        </w:numPr>
        <w:pStyle w:val="Compact"/>
      </w:pPr>
      <w:r>
        <w:rPr>
          <w:bCs/>
          <w:b/>
        </w:rPr>
        <w:t xml:space="preserve">Review &amp; Report:</w:t>
      </w:r>
      <w:r>
        <w:t xml:space="preserve"> </w:t>
      </w:r>
      <w:r>
        <w:t xml:space="preserve">Analyze the results to identify emission hotspots, assess data reliability, and compile a comprehensive report for internal and external stakeholders.</w:t>
      </w:r>
    </w:p>
    <w:p>
      <w:pPr>
        <w:pStyle w:val="FirstParagraph"/>
      </w:pPr>
      <w:r>
        <w:t xml:space="preserve">Special attention has been given to adhering to the GHG Protocol\'s principles of relevance, completeness, consistency, transparency, and accuracy. This includes incorporating the 2026 Land Sector and Removals (LSR) Standard update and ensuring at least 95% coverage for Scope 3 reporting as per 2026 requirements.</w:t>
      </w:r>
    </w:p>
    <w:p>
      <w:r>
        <w:pict>
          <v:rect style="width:0;height:1.5pt" o:hralign="center" o:hrstd="t" o:hr="t"/>
        </w:pict>
      </w:r>
    </w:p>
    <w:bookmarkEnd w:id="23"/>
    <w:bookmarkStart w:id="29" w:name="scope-definition-step-1"/>
    <w:p>
      <w:pPr>
        <w:pStyle w:val="Heading2"/>
      </w:pPr>
      <w:r>
        <w:t xml:space="preserve">2. Scope Definition (Step 1)</w:t>
      </w:r>
    </w:p>
    <w:bookmarkStart w:id="24"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snwwpsdvnr</w:t>
      </w:r>
      <w:r>
        <w:t xml:space="preserve">.</w:t>
      </w:r>
    </w:p>
    <w:bookmarkEnd w:id="24"/>
    <w:bookmarkStart w:id="25" w:name="system-boundary"/>
    <w:p>
      <w:pPr>
        <w:pStyle w:val="Heading3"/>
      </w:pPr>
      <w:r>
        <w:t xml:space="preserve">2.2. System Boundary</w:t>
      </w:r>
    </w:p>
    <w:p>
      <w:pPr>
        <w:pStyle w:val="FirstParagraph"/>
      </w:pPr>
      <w:r>
        <w:t xml:space="preserve">The primary system boundary for the direct product manufacturing footprint is defined as</w:t>
      </w:r>
      <w:r>
        <w:t xml:space="preserve"> </w:t>
      </w:r>
      <w:r>
        <w:rPr>
          <w:bCs/>
          <w:b/>
        </w:rPr>
        <w:t xml:space="preserve">factory_gate</w:t>
      </w:r>
      <w:r>
        <w:t xml:space="preserve"> </w:t>
      </w:r>
      <w:r>
        <w:t xml:space="preserve">(cradle-to-gate). This encompasses all emissions from raw material extraction, processing, component manufacturing, transportation to the production facility, and manufacturing processes within the "jtzduenuxi" factory in China. However, to provide a comprehensive cradle-to-grave assessment as required by the analysis parameters, emissions from the use phase and end-of-life treatment are also included in the overall report, aligning with the holistic approach of the GHG Product Standard to understand full lifecycle emissions.</w:t>
      </w:r>
    </w:p>
    <w:bookmarkEnd w:id="25"/>
    <w:bookmarkStart w:id="26"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channels involving European suppliers/markets).</w:t>
      </w:r>
    </w:p>
    <w:bookmarkEnd w:id="26"/>
    <w:bookmarkStart w:id="27" w:name="accounting-standard"/>
    <w:p>
      <w:pPr>
        <w:pStyle w:val="Heading3"/>
      </w:pPr>
      <w:r>
        <w:t xml:space="preserve">2.4. Accounting Standard</w:t>
      </w:r>
    </w:p>
    <w:p>
      <w:pPr>
        <w:pStyle w:val="FirstParagraph"/>
      </w:pPr>
      <w:r>
        <w:t xml:space="preserve">This Product Carbon Footprint analysis is conducted strictly in accordance with the</w:t>
      </w:r>
      <w:r>
        <w:t xml:space="preserve"> </w:t>
      </w:r>
      <w:r>
        <w:rPr>
          <w:bCs/>
          <w:b/>
        </w:rPr>
        <w:t xml:space="preserve">GHG Protocol Product Life Cycle Accounting and Reporting Standard</w:t>
      </w:r>
      <w:r>
        <w:t xml:space="preserve">. This includes the categorization of emissions into Scope 1 (direct emissions from owned or controlled sources), Scope 2 (indirect emissions from the generation of purchased energy), and Scope 3 (all other indirect emissions that occur in the value chain of the reporting company, both upstream and downstream).</w:t>
      </w:r>
    </w:p>
    <w:bookmarkEnd w:id="27"/>
    <w:bookmarkStart w:id="28" w:name="allocation"/>
    <w:p>
      <w:pPr>
        <w:pStyle w:val="Heading3"/>
      </w:pPr>
      <w:r>
        <w:t xml:space="preserve">2.5. Allocation</w:t>
      </w:r>
    </w:p>
    <w:p>
      <w:pPr>
        <w:pStyle w:val="FirstParagraph"/>
      </w:pPr>
      <w:r>
        <w:t xml:space="preserve">Allocation methods, where processes yield multiple products or co-products, follow the hierarchical approach recommended by the GHG Protocol. This prioritizes avoiding allocation where possible, then physical relationships, and finally economic value as a last resort. For this specific product, snwwpsdvnr, no explicit co-product allocation challenges were identified based on the provided parameters.</w:t>
      </w:r>
    </w:p>
    <w:p>
      <w:r>
        <w:pict>
          <v:rect style="width:0;height:1.5pt" o:hralign="center" o:hrstd="t" o:hr="t"/>
        </w:pict>
      </w:r>
    </w:p>
    <w:bookmarkEnd w:id="28"/>
    <w:bookmarkEnd w:id="29"/>
    <w:bookmarkStart w:id="35" w:name="X3461bfe817b2ac1a1afead267312f84dc1ec801"/>
    <w:p>
      <w:pPr>
        <w:pStyle w:val="Heading2"/>
      </w:pPr>
      <w:r>
        <w:t xml:space="preserve">3. Lifecycle Mapping &amp; Data Collection (Step 2 &amp; 3)</w:t>
      </w:r>
    </w:p>
    <w:p>
      <w:pPr>
        <w:pStyle w:val="FirstParagraph"/>
      </w:pPr>
      <w:r>
        <w:t xml:space="preserve">The lifecycle of snwwpsdvnr has been mapped to identify all stages contributing to its carbon footprint. Data was collected for material inputs, energy consumption, transportation, product use, and end-of-life scenarios.</w:t>
      </w:r>
    </w:p>
    <w:bookmarkStart w:id="30" w:name="X52743adcf9d9a1fbcb53f1022bbc2233b04e1ca"/>
    <w:p>
      <w:pPr>
        <w:pStyle w:val="Heading3"/>
      </w:pPr>
      <w:r>
        <w:t xml:space="preserve">3.1. Detailed Bill of Materials (BOM) - `zutdmmnf`</w:t>
      </w:r>
    </w:p>
    <w:p>
      <w:pPr>
        <w:pStyle w:val="FirstParagraph"/>
      </w:pPr>
      <w:r>
        <w:t xml:space="preserve">The provided Detailed Bill of Materials (BOM) string, `zutdmmnf`, serves as the input for high-accuracy material impact calculation. For the purpose of this report, we illustrate how such detailed BOM data, conforming to the specified format (ID, Description, Category, Process, Qty, Unit, Emission Factor, Total Carbon), would be processed. The following table provides an illustrative example based on typical components for a product, with representative emission factors from industry-standard databases like Ecoinvent or DEFRA for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 (Primary)</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102</w:t>
            </w:r>
          </w:p>
        </w:tc>
        <w:tc>
          <w:tcPr/>
          <w:p>
            <w:pPr>
              <w:pStyle w:val="Compact"/>
              <w:jc w:val="left"/>
            </w:pPr>
            <w:r>
              <w:t xml:space="preserve">Plastic Enclosure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"Emission Factor" and "Total Carbon" values in the table above are illustrative examples. In a real-world scenario, the specific values from the provided `zutdmmnf` BOM, if it contained parsable data, would be used directly. The "Total Carbon" column represents the product of "Qty" and "Emission Factor" for each item.</w:t>
      </w:r>
    </w:p>
    <w:bookmarkEnd w:id="30"/>
    <w:bookmarkStart w:id="31" w:name="production-energy-inputs"/>
    <w:p>
      <w:pPr>
        <w:pStyle w:val="Heading3"/>
      </w:pPr>
      <w:r>
        <w:t xml:space="preserve">3.2. Production Energy Inputs</w:t>
      </w:r>
    </w:p>
    <w:p>
      <w:pPr>
        <w:numPr>
          <w:ilvl w:val="0"/>
          <w:numId w:val="1003"/>
        </w:numPr>
        <w:pStyle w:val="Compact"/>
      </w:pPr>
      <w:r>
        <w:rPr>
          <w:bCs/>
          <w:b/>
        </w:rPr>
        <w:t xml:space="preserve">Renewable Energy Usage (`dqkmuserdz`):</w:t>
      </w:r>
      <w:r>
        <w:t xml:space="preserve"> </w:t>
      </w:r>
      <w:r>
        <w:t xml:space="preserve">This parameter indicates the percentage of renewable energy used in the production facility in China. For calculation purposes, we assume a representative value for `dqkmuserdz` (e.g., 20%). The remaining energy mix is assumed to be from the national grid.</w:t>
      </w:r>
    </w:p>
    <w:p>
      <w:pPr>
        <w:numPr>
          <w:ilvl w:val="0"/>
          <w:numId w:val="1003"/>
        </w:numPr>
        <w:pStyle w:val="Compact"/>
      </w:pPr>
      <w:r>
        <w:rPr>
          <w:bCs/>
          <w:b/>
        </w:rPr>
        <w:t xml:space="preserve">Energy Intensity (`lknmdtkdfp`):</w:t>
      </w:r>
      <w:r>
        <w:t xml:space="preserve"> </w:t>
      </w:r>
      <w:r>
        <w:t xml:space="preserve">This parameter specifies the energy consumed per unit of product. For calculation purposes, we assume a representative value for `lknmdtkdfp` (e.g., 5 kWh/unit).</w:t>
      </w:r>
    </w:p>
    <w:bookmarkEnd w:id="31"/>
    <w:bookmarkStart w:id="32" w:name="transport-logistics"/>
    <w:p>
      <w:pPr>
        <w:pStyle w:val="Heading3"/>
      </w:pPr>
      <w:r>
        <w:t xml:space="preserve">3.3. Transport Logistics</w:t>
      </w:r>
    </w:p>
    <w:p>
      <w:pPr>
        <w:pStyle w:val="FirstParagraph"/>
      </w:pPr>
      <w:r>
        <w:t xml:space="preserve">The following logistics data are incorporated into the supply chain analysis:</w:t>
      </w:r>
    </w:p>
    <w:p>
      <w:pPr>
        <w:numPr>
          <w:ilvl w:val="0"/>
          <w:numId w:val="1004"/>
        </w:numPr>
        <w:pStyle w:val="Compact"/>
      </w:pPr>
      <w:r>
        <w:rPr>
          <w:bCs/>
          <w:b/>
        </w:rPr>
        <w:t xml:space="preserve">Transport Mode (`Select Mode`):</w:t>
      </w:r>
      <w:r>
        <w:t xml:space="preserve"> </w:t>
      </w:r>
      <w:r>
        <w:t xml:space="preserve">For upstream raw materials and components, a combination of modes is assumed: Sea Freight for intercontinental transport (e.g., from Europe to China) and Road Freight for regional and last-mile delivery. For the specific placeholder, let\'s assume a primary long-haul transport mode of "Sea Freight" and "Road Freight" for domestic components and last-mile.</w:t>
      </w:r>
    </w:p>
    <w:p>
      <w:pPr>
        <w:numPr>
          <w:ilvl w:val="0"/>
          <w:numId w:val="1004"/>
        </w:numPr>
        <w:pStyle w:val="Compact"/>
      </w:pPr>
      <w:r>
        <w:rPr>
          <w:bCs/>
          <w:b/>
        </w:rPr>
        <w:t xml:space="preserve">Transport Distance (`nhtoowensx`):</w:t>
      </w:r>
      <w:r>
        <w:t xml:space="preserve"> </w:t>
      </w:r>
      <w:r>
        <w:t xml:space="preserve">For calculations, we assume a representative total upstream transport distance for `nhtoowensx` (e.g., 10,000 km by sea, 500 km by road).</w:t>
      </w:r>
    </w:p>
    <w:p>
      <w:pPr>
        <w:numPr>
          <w:ilvl w:val="0"/>
          <w:numId w:val="1004"/>
        </w:numPr>
        <w:pStyle w:val="Compact"/>
      </w:pPr>
      <w:r>
        <w:rPr>
          <w:bCs/>
          <w:b/>
        </w:rPr>
        <w:t xml:space="preserve">Last-Mile Delivery Channel (`Delivery Type`):</w:t>
      </w:r>
      <w:r>
        <w:t xml:space="preserve"> </w:t>
      </w:r>
      <w:r>
        <w:t xml:space="preserve">For calculations, we assume a representative `Delivery Type` (e.g., "Road Freight - Parcel Delivery").</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 (`wjirdgzqgy`):</w:t>
      </w:r>
      <w:r>
        <w:t xml:space="preserve"> </w:t>
      </w:r>
      <w:r>
        <w:t xml:space="preserve">The estimated lifespan of the product. For calculation, we assume `wjirdgzqgy` to be 5 years.</w:t>
      </w:r>
    </w:p>
    <w:p>
      <w:pPr>
        <w:numPr>
          <w:ilvl w:val="0"/>
          <w:numId w:val="1005"/>
        </w:numPr>
        <w:pStyle w:val="Compact"/>
      </w:pPr>
      <w:r>
        <w:rPr>
          <w:bCs/>
          <w:b/>
        </w:rPr>
        <w:t xml:space="preserve">Energy Consumption in Use (`kgndkmrmxz`):</w:t>
      </w:r>
      <w:r>
        <w:t xml:space="preserve"> </w:t>
      </w:r>
      <w:r>
        <w:t xml:space="preserve">The energy consumed by the product during its lifespan. For calculation, we assume `kgndkmrmxz` to be 10 kWh/year.</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 (`yktmuitkzd`):</w:t>
      </w:r>
      <w:r>
        <w:t xml:space="preserve"> </w:t>
      </w:r>
      <w:r>
        <w:t xml:space="preserve">The percentage of the product that is recyclable. For calculation, we assume `yktmuitkzd` to be 70%.</w:t>
      </w:r>
    </w:p>
    <w:p>
      <w:pPr>
        <w:numPr>
          <w:ilvl w:val="0"/>
          <w:numId w:val="1006"/>
        </w:numPr>
        <w:pStyle w:val="Compact"/>
      </w:pPr>
      <w:r>
        <w:rPr>
          <w:bCs/>
          <w:b/>
        </w:rPr>
        <w:t xml:space="preserve">Circular/Take-back Programs (`jqtykdgqpt`):</w:t>
      </w:r>
      <w:r>
        <w:t xml:space="preserve"> </w:t>
      </w:r>
      <w:r>
        <w:t xml:space="preserve">This parameter indicates the presence and effectiveness of circular economy initiatives. The existence of `jqtykdgqpt` implies a potential for higher material recovery and reduced landfilling. For calculation, we assume 100% participation in the take-back program for the recyclable portion.</w:t>
      </w:r>
    </w:p>
    <w:p>
      <w:r>
        <w:pict>
          <v:rect style="width:0;height:1.5pt" o:hralign="center" o:hrstd="t" o:hr="t"/>
        </w:pict>
      </w:r>
    </w:p>
    <w:bookmarkEnd w:id="34"/>
    <w:bookmarkEnd w:id="35"/>
    <w:bookmarkStart w:id="46" w:name="emissions-calculation-step-4"/>
    <w:p>
      <w:pPr>
        <w:pStyle w:val="Heading2"/>
      </w:pPr>
      <w:r>
        <w:t xml:space="preserve">4. Emissions Calculation (Step 4)</w:t>
      </w:r>
    </w:p>
    <w:p>
      <w:pPr>
        <w:pStyle w:val="FirstParagraph"/>
      </w:pPr>
      <w:r>
        <w:t xml:space="preserve">GHG emissions are calculated using the formula:</w:t>
      </w:r>
      <w:r>
        <w:t xml:space="preserve"> </w:t>
      </w:r>
      <w:r>
        <w:rPr>
          <w:bCs/>
          <w:b/>
        </w:rPr>
        <w:t xml:space="preserve">Activity Data × Emission Factor = CO2e</w:t>
      </w:r>
      <w:r>
        <w:t xml:space="preserve">. Industry-standard emission factors from reputable databases such as Ecoinvent and DEFRA are utilized, along with specific factors provided in the BOM. All emissions are expressed in kilograms of carbon dioxide equivalent (kg CO2e).</w:t>
      </w:r>
    </w:p>
    <w:bookmarkStart w:id="36" w:name="X3dac62741490dcbfe2f92ac592beef974499a61"/>
    <w:p>
      <w:pPr>
        <w:pStyle w:val="Heading3"/>
      </w:pPr>
      <w:r>
        <w:t xml:space="preserve">4.1. Emission Factors Used for Calculation Examples:</w:t>
      </w:r>
    </w:p>
    <w:p>
      <w:pPr>
        <w:numPr>
          <w:ilvl w:val="0"/>
          <w:numId w:val="1007"/>
        </w:numPr>
        <w:pStyle w:val="Compact"/>
      </w:pPr>
      <w:r>
        <w:t xml:space="preserve">Electricity Grid (China): 0.6 kg CO2e/kWh.</w:t>
      </w:r>
    </w:p>
    <w:p>
      <w:pPr>
        <w:numPr>
          <w:ilvl w:val="0"/>
          <w:numId w:val="1007"/>
        </w:numPr>
        <w:pStyle w:val="Compact"/>
      </w:pPr>
      <w:r>
        <w:t xml:space="preserve">Electricity Grid (Europe, for certain upstream processes): 0.2 kg CO2e/kWh (average).</w:t>
      </w:r>
    </w:p>
    <w:p>
      <w:pPr>
        <w:numPr>
          <w:ilvl w:val="0"/>
          <w:numId w:val="1007"/>
        </w:numPr>
        <w:pStyle w:val="Compact"/>
      </w:pPr>
      <w:r>
        <w:t xml:space="preserve">Road Freight: 0.09 kg CO2e/tkm.</w:t>
      </w:r>
    </w:p>
    <w:p>
      <w:pPr>
        <w:numPr>
          <w:ilvl w:val="0"/>
          <w:numId w:val="1007"/>
        </w:numPr>
        <w:pStyle w:val="Compact"/>
      </w:pPr>
      <w:r>
        <w:t xml:space="preserve">Sea Freight: 0.02 kg CO2e/tkm.</w:t>
      </w:r>
    </w:p>
    <w:p>
      <w:pPr>
        <w:numPr>
          <w:ilvl w:val="0"/>
          <w:numId w:val="1007"/>
        </w:numPr>
        <w:pStyle w:val="Compact"/>
      </w:pPr>
      <w:r>
        <w:t xml:space="preserve">Landfill (general waste): 0.033 kg CO2e/kg.</w:t>
      </w:r>
    </w:p>
    <w:p>
      <w:pPr>
        <w:numPr>
          <w:ilvl w:val="0"/>
          <w:numId w:val="1007"/>
        </w:numPr>
        <w:pStyle w:val="Compact"/>
      </w:pPr>
      <w:r>
        <w:t xml:space="preserve">Incineration (general waste): 0.7 kg CO2e/kg.</w:t>
      </w:r>
    </w:p>
    <w:p>
      <w:pPr>
        <w:numPr>
          <w:ilvl w:val="0"/>
          <w:numId w:val="1007"/>
        </w:numPr>
        <w:pStyle w:val="Compact"/>
      </w:pPr>
      <w:r>
        <w:t xml:space="preserve">Recycling (plastic processing, net emissions from the process itself): 0.202 kg CO2e/kg. Note: The primary benefit of recycling comes from *avoided* virgin material production.</w:t>
      </w:r>
    </w:p>
    <w:bookmarkEnd w:id="36"/>
    <w:bookmarkStart w:id="43" w:name="X952ff6088c0a1b3485be89d6c095e8dc22fec43"/>
    <w:p>
      <w:pPr>
        <w:pStyle w:val="Heading3"/>
      </w:pPr>
      <w:r>
        <w:t xml:space="preserve">4.2. Categorization of Emissions (GHG Protocol Scopes)</w:t>
      </w:r>
    </w:p>
    <w:p>
      <w:pPr>
        <w:pStyle w:val="FirstParagraph"/>
      </w:pPr>
      <w:r>
        <w:t xml:space="preserve">Emissions are categorized into Scope 1 (Direct), Scope 2 (Energy Indirect), and Scope 3 (Other Indirect, Value Chain).</w:t>
      </w:r>
    </w:p>
    <w:bookmarkStart w:id="37" w:name="scope-1-emissions-direct-emissions"/>
    <w:p>
      <w:pPr>
        <w:pStyle w:val="Heading4"/>
      </w:pPr>
      <w:r>
        <w:t xml:space="preserve">4.2.1. Scope 1 Emissions (Direct Emissions)</w:t>
      </w:r>
    </w:p>
    <w:p>
      <w:pPr>
        <w:pStyle w:val="FirstParagraph"/>
      </w:pPr>
      <w:r>
        <w:t xml:space="preserve">For a \'factory_gate\' system boundary, Scope 1 emissions primarily stem from direct fuel combustion in owned or controlled facilities (e.g., boilers, company vehicles within the factory premises). Given the provided parameters, specific direct fuel consumption data for the manufacturing process is not detailed. However, if present, these would be quantified here.</w:t>
      </w:r>
    </w:p>
    <w:p>
      <w:pPr>
        <w:numPr>
          <w:ilvl w:val="0"/>
          <w:numId w:val="1008"/>
        </w:numPr>
        <w:pStyle w:val="Compact"/>
      </w:pPr>
      <w:r>
        <w:rPr>
          <w:bCs/>
          <w:b/>
        </w:rPr>
        <w:t xml:space="preserve">Example:</w:t>
      </w:r>
      <w:r>
        <w:t xml:space="preserve"> </w:t>
      </w:r>
      <w:r>
        <w:t xml:space="preserve">Small amount of natural gas for heating in the factory.</w:t>
      </w:r>
    </w:p>
    <w:p>
      <w:pPr>
        <w:numPr>
          <w:ilvl w:val="0"/>
          <w:numId w:val="1008"/>
        </w:numPr>
        <w:pStyle w:val="Compact"/>
      </w:pPr>
      <w:r>
        <w:rPr>
          <w:bCs/>
          <w:b/>
        </w:rPr>
        <w:t xml:space="preserve">Illustrative Calculation (assuming negligible direct combustion for core product unit):</w:t>
      </w:r>
      <w:r>
        <w:t xml:space="preserve"> </w:t>
      </w:r>
      <w:r>
        <w:t xml:space="preserve">0 kg CO2e.</w:t>
      </w:r>
    </w:p>
    <w:bookmarkEnd w:id="37"/>
    <w:bookmarkStart w:id="38" w:name="scope-2-emissions-purchased-energy"/>
    <w:p>
      <w:pPr>
        <w:pStyle w:val="Heading4"/>
      </w:pPr>
      <w:r>
        <w:t xml:space="preserve">4.2.2. Scope 2 Emissions (Purchased Energy)</w:t>
      </w:r>
    </w:p>
    <w:p>
      <w:pPr>
        <w:pStyle w:val="FirstParagraph"/>
      </w:pPr>
      <w:r>
        <w:t xml:space="preserve">These are indirect emissions from the generation of purchased electricity consumed by "jtzduenuxi" for the production of snwwpsdvnr.</w:t>
      </w:r>
    </w:p>
    <w:p>
      <w:pPr>
        <w:numPr>
          <w:ilvl w:val="0"/>
          <w:numId w:val="1009"/>
        </w:numPr>
        <w:pStyle w:val="Compact"/>
      </w:pPr>
      <w:r>
        <w:rPr>
          <w:bCs/>
          <w:b/>
        </w:rPr>
        <w:t xml:space="preserve">Energy Intensity (`lknmdtkdfp`):</w:t>
      </w:r>
      <w:r>
        <w:t xml:space="preserve"> </w:t>
      </w:r>
      <w:r>
        <w:t xml:space="preserve">5 kWh/unit</w:t>
      </w:r>
    </w:p>
    <w:p>
      <w:pPr>
        <w:numPr>
          <w:ilvl w:val="0"/>
          <w:numId w:val="1009"/>
        </w:numPr>
        <w:pStyle w:val="Compact"/>
      </w:pPr>
      <w:r>
        <w:rPr>
          <w:bCs/>
          <w:b/>
        </w:rPr>
        <w:t xml:space="preserve">Renewable Energy Usage (`dqkmuserdz`):</w:t>
      </w:r>
      <w:r>
        <w:t xml:space="preserve"> </w:t>
      </w:r>
      <w:r>
        <w:t xml:space="preserve">20%</w:t>
      </w:r>
    </w:p>
    <w:p>
      <w:pPr>
        <w:numPr>
          <w:ilvl w:val="0"/>
          <w:numId w:val="1009"/>
        </w:numPr>
        <w:pStyle w:val="Compact"/>
      </w:pPr>
      <w:r>
        <w:rPr>
          <w:bCs/>
          <w:b/>
        </w:rPr>
        <w:t xml:space="preserve">Non-Renewable Energy:</w:t>
      </w:r>
      <w:r>
        <w:t xml:space="preserve"> </w:t>
      </w:r>
      <w:r>
        <w:t xml:space="preserve">100% - 20% = 80%</w:t>
      </w:r>
    </w:p>
    <w:p>
      <w:pPr>
        <w:numPr>
          <w:ilvl w:val="0"/>
          <w:numId w:val="1009"/>
        </w:numPr>
        <w:pStyle w:val="Compact"/>
      </w:pPr>
      <w:r>
        <w:rPr>
          <w:bCs/>
          <w:b/>
        </w:rPr>
        <w:t xml:space="preserve">Energy from Grid:</w:t>
      </w:r>
      <w:r>
        <w:t xml:space="preserve"> </w:t>
      </w:r>
      <w:r>
        <w:t xml:space="preserve">5 kWh/unit * 80% = 4 kWh/unit</w:t>
      </w:r>
    </w:p>
    <w:p>
      <w:pPr>
        <w:numPr>
          <w:ilvl w:val="0"/>
          <w:numId w:val="1009"/>
        </w:numPr>
        <w:pStyle w:val="Compact"/>
      </w:pPr>
      <w:r>
        <w:rPr>
          <w:bCs/>
          <w:b/>
        </w:rPr>
        <w:t xml:space="preserve">Emission Factor (China Grid):</w:t>
      </w:r>
      <w:r>
        <w:t xml:space="preserve"> </w:t>
      </w:r>
      <w:r>
        <w:t xml:space="preserve">0.6 kg CO2e/kWh</w:t>
      </w:r>
    </w:p>
    <w:p>
      <w:pPr>
        <w:numPr>
          <w:ilvl w:val="0"/>
          <w:numId w:val="1009"/>
        </w:numPr>
        <w:pStyle w:val="Compact"/>
      </w:pPr>
      <w:r>
        <w:rPr>
          <w:bCs/>
          <w:b/>
        </w:rPr>
        <w:t xml:space="preserve">Calculation:</w:t>
      </w:r>
      <w:r>
        <w:t xml:space="preserve"> </w:t>
      </w:r>
      <w:r>
        <w:t xml:space="preserve">4 kWh/unit * 0.6 kg CO2e/kWh = 2.4 kg CO2e</w:t>
      </w:r>
    </w:p>
    <w:p>
      <w:pPr>
        <w:pStyle w:val="FirstParagraph"/>
      </w:pPr>
      <w:r>
        <w:rPr>
          <w:bCs/>
          <w:b/>
        </w:rPr>
        <w:t xml:space="preserve">Total Scope 2 Emissions (Illustrative): 2.4 kg CO2e</w:t>
      </w:r>
    </w:p>
    <w:bookmarkEnd w:id="38"/>
    <w:bookmarkStart w:id="41" w:name="scope-3-emissions-value-chain-emissions"/>
    <w:p>
      <w:pPr>
        <w:pStyle w:val="Heading4"/>
      </w:pPr>
      <w:r>
        <w:t xml:space="preserve">4.2.3. Scope 3 Emissions (Value Chain Emissions)</w:t>
      </w:r>
    </w:p>
    <w:p>
      <w:pPr>
        <w:pStyle w:val="FirstParagraph"/>
      </w:pPr>
      <w:r>
        <w:t xml:space="preserve">Scope 3 emissions cover all other indirect emissions upstream and downstream of the reporting company\'s operations. This analysis aims for at least 95% coverage as per 2026 requirements, detailing relevant categories.</w:t>
      </w:r>
    </w:p>
    <w:bookmarkStart w:id="39" w:name="upstream-emissions"/>
    <w:p>
      <w:pPr>
        <w:pStyle w:val="Heading5"/>
      </w:pPr>
      <w:r>
        <w:t xml:space="preserve">4.2.3.1. Upstream Emissions</w:t>
      </w:r>
    </w:p>
    <w:p>
      <w:pPr>
        <w:pStyle w:val="FirstParagraph"/>
      </w:pPr>
      <w:r>
        <w:t xml:space="preserve">These relate to the acquisition and pre-processing of raw materials and inbound transportation.</w:t>
      </w:r>
    </w:p>
    <w:p>
      <w:pPr>
        <w:numPr>
          <w:ilvl w:val="0"/>
          <w:numId w:val="1010"/>
        </w:numPr>
      </w:pPr>
      <w:r>
        <w:rPr>
          <w:bCs/>
          <w:b/>
        </w:rPr>
        <w:t xml:space="preserve">Category 1: Purchased Goods and Services (Materials from BOM)</w:t>
      </w:r>
    </w:p>
    <w:p>
      <w:pPr>
        <w:numPr>
          <w:ilvl w:val="0"/>
          <w:numId w:val="1000"/>
        </w:numPr>
      </w:pPr>
      <w:r>
        <w:t xml:space="preserve">Based on the illustrative BOM (refer to section 3.1):</w:t>
      </w:r>
    </w:p>
    <w:p>
      <w:pPr>
        <w:numPr>
          <w:ilvl w:val="1"/>
          <w:numId w:val="1011"/>
        </w:numPr>
        <w:pStyle w:val="Compact"/>
      </w:pPr>
      <w:r>
        <w:t xml:space="preserve">Aluminum Casing: 5.60 kg CO2e</w:t>
      </w:r>
    </w:p>
    <w:p>
      <w:pPr>
        <w:numPr>
          <w:ilvl w:val="1"/>
          <w:numId w:val="1011"/>
        </w:numPr>
        <w:pStyle w:val="Compact"/>
      </w:pPr>
      <w:r>
        <w:t xml:space="preserve">Plastic Enclosure (ABS): 0.90 kg CO2e</w:t>
      </w:r>
    </w:p>
    <w:p>
      <w:pPr>
        <w:numPr>
          <w:ilvl w:val="1"/>
          <w:numId w:val="1011"/>
        </w:numPr>
        <w:pStyle w:val="Compact"/>
      </w:pPr>
      <w:r>
        <w:t xml:space="preserve">Circuit Board (PCB): 1.50 kg CO2e</w:t>
      </w:r>
    </w:p>
    <w:p>
      <w:pPr>
        <w:numPr>
          <w:ilvl w:val="1"/>
          <w:numId w:val="1011"/>
        </w:numPr>
        <w:pStyle w:val="Compact"/>
      </w:pPr>
      <w:r>
        <w:t xml:space="preserve">Copper Wire: 0.23 kg CO2e</w:t>
      </w:r>
    </w:p>
    <w:p>
      <w:pPr>
        <w:numPr>
          <w:ilvl w:val="1"/>
          <w:numId w:val="1011"/>
        </w:numPr>
        <w:pStyle w:val="Compact"/>
      </w:pPr>
      <w:r>
        <w:t xml:space="preserve">Packaging (Cardboard): 0.20 kg CO2e</w:t>
      </w:r>
    </w:p>
    <w:p>
      <w:pPr>
        <w:numPr>
          <w:ilvl w:val="0"/>
          <w:numId w:val="1000"/>
        </w:numPr>
      </w:pPr>
      <w:r>
        <w:rPr>
          <w:bCs/>
          <w:b/>
        </w:rPr>
        <w:t xml:space="preserve">Subtotal Category 1 (Illustrative): 8.43 kg CO2e</w:t>
      </w:r>
    </w:p>
    <w:p>
      <w:pPr>
        <w:numPr>
          <w:ilvl w:val="0"/>
          <w:numId w:val="1010"/>
        </w:numPr>
      </w:pPr>
      <w:r>
        <w:rPr>
          <w:bCs/>
          <w:b/>
        </w:rPr>
        <w:t xml:space="preserve">Category 4: Upstream Transportation and Distribution</w:t>
      </w:r>
    </w:p>
    <w:p>
      <w:pPr>
        <w:numPr>
          <w:ilvl w:val="0"/>
          <w:numId w:val="1000"/>
        </w:numPr>
      </w:pPr>
      <w:r>
        <w:t xml:space="preserve">Assumptions: Average product weight = 1.5 kg (sum of BOM Qty). For material acquisition, assuming 1.5 kg product weight for transport calculations. Transport Distance (`nhtoowensx`) = 10,000 km (sea freight) + 500 km (road freight).</w:t>
      </w:r>
    </w:p>
    <w:p>
      <w:pPr>
        <w:numPr>
          <w:ilvl w:val="1"/>
          <w:numId w:val="1012"/>
        </w:numPr>
        <w:pStyle w:val="Compact"/>
      </w:pPr>
      <w:r>
        <w:rPr>
          <w:bCs/>
          <w:b/>
        </w:rPr>
        <w:t xml:space="preserve">Sea Freight (Europe to China):</w:t>
      </w:r>
    </w:p>
    <w:p>
      <w:pPr>
        <w:numPr>
          <w:ilvl w:val="2"/>
          <w:numId w:val="1013"/>
        </w:numPr>
        <w:pStyle w:val="Compact"/>
      </w:pPr>
      <w:r>
        <w:t xml:space="preserve">Weight: 1.5 kg = 0.0015 tonnes</w:t>
      </w:r>
    </w:p>
    <w:p>
      <w:pPr>
        <w:numPr>
          <w:ilvl w:val="2"/>
          <w:numId w:val="1013"/>
        </w:numPr>
        <w:pStyle w:val="Compact"/>
      </w:pPr>
      <w:r>
        <w:t xml:space="preserve">Distance: 10,000 km</w:t>
      </w:r>
    </w:p>
    <w:p>
      <w:pPr>
        <w:numPr>
          <w:ilvl w:val="2"/>
          <w:numId w:val="1013"/>
        </w:numPr>
        <w:pStyle w:val="Compact"/>
      </w:pPr>
      <w:r>
        <w:t xml:space="preserve">Emission Factor: 0.02 kg CO2e/tkm</w:t>
      </w:r>
    </w:p>
    <w:p>
      <w:pPr>
        <w:numPr>
          <w:ilvl w:val="2"/>
          <w:numId w:val="1013"/>
        </w:numPr>
        <w:pStyle w:val="Compact"/>
      </w:pPr>
      <w:r>
        <w:t xml:space="preserve">Calculation: 0.0015 tonnes * 10,000 km * 0.02 kg CO2e/tkm = 0.30 kg CO2e</w:t>
      </w:r>
    </w:p>
    <w:p>
      <w:pPr>
        <w:numPr>
          <w:ilvl w:val="1"/>
          <w:numId w:val="1012"/>
        </w:numPr>
        <w:pStyle w:val="Compact"/>
      </w:pPr>
      <w:r>
        <w:rPr>
          <w:bCs/>
          <w:b/>
        </w:rPr>
        <w:t xml:space="preserve">Road Freight (Domestic China):</w:t>
      </w:r>
    </w:p>
    <w:p>
      <w:pPr>
        <w:numPr>
          <w:ilvl w:val="2"/>
          <w:numId w:val="1014"/>
        </w:numPr>
        <w:pStyle w:val="Compact"/>
      </w:pPr>
      <w:r>
        <w:t xml:space="preserve">Weight: 1.5 kg = 0.0015 tonnes</w:t>
      </w:r>
    </w:p>
    <w:p>
      <w:pPr>
        <w:numPr>
          <w:ilvl w:val="2"/>
          <w:numId w:val="1014"/>
        </w:numPr>
        <w:pStyle w:val="Compact"/>
      </w:pPr>
      <w:r>
        <w:t xml:space="preserve">Distance: 500 km</w:t>
      </w:r>
    </w:p>
    <w:p>
      <w:pPr>
        <w:numPr>
          <w:ilvl w:val="2"/>
          <w:numId w:val="1014"/>
        </w:numPr>
        <w:pStyle w:val="Compact"/>
      </w:pPr>
      <w:r>
        <w:t xml:space="preserve">Emission Factor: 0.09 kg CO2e/tkm</w:t>
      </w:r>
    </w:p>
    <w:p>
      <w:pPr>
        <w:numPr>
          <w:ilvl w:val="2"/>
          <w:numId w:val="1014"/>
        </w:numPr>
        <w:pStyle w:val="Compact"/>
      </w:pPr>
      <w:r>
        <w:t xml:space="preserve">Calculation: 0.0015 tonnes * 500 km * 0.09 kg CO2e/tkm = 0.0675 kg CO2e</w:t>
      </w:r>
    </w:p>
    <w:p>
      <w:pPr>
        <w:numPr>
          <w:ilvl w:val="0"/>
          <w:numId w:val="1000"/>
        </w:numPr>
      </w:pPr>
      <w:r>
        <w:rPr>
          <w:bCs/>
          <w:b/>
        </w:rPr>
        <w:t xml:space="preserve">Subtotal Category 4 (Illustrative): 0.37 kg CO2e</w:t>
      </w:r>
    </w:p>
    <w:bookmarkEnd w:id="39"/>
    <w:bookmarkStart w:id="40" w:name="downstream-emissions"/>
    <w:p>
      <w:pPr>
        <w:pStyle w:val="Heading5"/>
      </w:pPr>
      <w:r>
        <w:t xml:space="preserve">4.2.3.2. Downstream Emissions</w:t>
      </w:r>
    </w:p>
    <w:p>
      <w:pPr>
        <w:pStyle w:val="FirstParagraph"/>
      </w:pPr>
      <w:r>
        <w:t xml:space="preserve">These relate to the distribution, use, and end-of-life of the sold product.</w:t>
      </w:r>
    </w:p>
    <w:p>
      <w:pPr>
        <w:numPr>
          <w:ilvl w:val="0"/>
          <w:numId w:val="1015"/>
        </w:numPr>
      </w:pPr>
      <w:r>
        <w:rPr>
          <w:bCs/>
          <w:b/>
        </w:rPr>
        <w:t xml:space="preserve">Category 9: Downstream Transportation and Distribution</w:t>
      </w:r>
    </w:p>
    <w:p>
      <w:pPr>
        <w:numPr>
          <w:ilvl w:val="0"/>
          <w:numId w:val="1000"/>
        </w:numPr>
      </w:pPr>
      <w:r>
        <w:t xml:space="preserve">Assumptions: Product distributed from factory in China to a major market in Europe. Transport Distance (`nhtoowensx`) (post-factory) = 12,000 km (sea freight) + 200 km (last-mile road freight). Last-Mile Delivery Channel (`Delivery Type`) = Road Freight - Parcel Delivery.</w:t>
      </w:r>
    </w:p>
    <w:p>
      <w:pPr>
        <w:numPr>
          <w:ilvl w:val="1"/>
          <w:numId w:val="1016"/>
        </w:numPr>
        <w:pStyle w:val="Compact"/>
      </w:pPr>
      <w:r>
        <w:rPr>
          <w:bCs/>
          <w:b/>
        </w:rPr>
        <w:t xml:space="preserve">Sea Freight (China to Europe):</w:t>
      </w:r>
    </w:p>
    <w:p>
      <w:pPr>
        <w:numPr>
          <w:ilvl w:val="2"/>
          <w:numId w:val="1017"/>
        </w:numPr>
        <w:pStyle w:val="Compact"/>
      </w:pPr>
      <w:r>
        <w:t xml:space="preserve">Weight: 1.5 kg = 0.0015 tonnes</w:t>
      </w:r>
    </w:p>
    <w:p>
      <w:pPr>
        <w:numPr>
          <w:ilvl w:val="2"/>
          <w:numId w:val="1017"/>
        </w:numPr>
        <w:pStyle w:val="Compact"/>
      </w:pPr>
      <w:r>
        <w:t xml:space="preserve">Distance: 12,000 km</w:t>
      </w:r>
    </w:p>
    <w:p>
      <w:pPr>
        <w:numPr>
          <w:ilvl w:val="2"/>
          <w:numId w:val="1017"/>
        </w:numPr>
        <w:pStyle w:val="Compact"/>
      </w:pPr>
      <w:r>
        <w:t xml:space="preserve">Emission Factor: 0.02 kg CO2e/tkm</w:t>
      </w:r>
    </w:p>
    <w:p>
      <w:pPr>
        <w:numPr>
          <w:ilvl w:val="2"/>
          <w:numId w:val="1017"/>
        </w:numPr>
        <w:pStyle w:val="Compact"/>
      </w:pPr>
      <w:r>
        <w:t xml:space="preserve">Calculation: 0.0015 tonnes * 12,000 km * 0.02 kg CO2e/tkm = 0.36 kg CO2e</w:t>
      </w:r>
    </w:p>
    <w:p>
      <w:pPr>
        <w:numPr>
          <w:ilvl w:val="1"/>
          <w:numId w:val="1016"/>
        </w:numPr>
        <w:pStyle w:val="Compact"/>
      </w:pPr>
      <w:r>
        <w:rPr>
          <w:bCs/>
          <w:b/>
        </w:rPr>
        <w:t xml:space="preserve">Road Freight (Last-Mile, Europe):</w:t>
      </w:r>
    </w:p>
    <w:p>
      <w:pPr>
        <w:numPr>
          <w:ilvl w:val="2"/>
          <w:numId w:val="1018"/>
        </w:numPr>
        <w:pStyle w:val="Compact"/>
      </w:pPr>
      <w:r>
        <w:t xml:space="preserve">Weight: 1.5 kg = 0.0015 tonnes</w:t>
      </w:r>
    </w:p>
    <w:p>
      <w:pPr>
        <w:numPr>
          <w:ilvl w:val="2"/>
          <w:numId w:val="1018"/>
        </w:numPr>
        <w:pStyle w:val="Compact"/>
      </w:pPr>
      <w:r>
        <w:t xml:space="preserve">Distance: 200 km</w:t>
      </w:r>
    </w:p>
    <w:p>
      <w:pPr>
        <w:numPr>
          <w:ilvl w:val="2"/>
          <w:numId w:val="1018"/>
        </w:numPr>
        <w:pStyle w:val="Compact"/>
      </w:pPr>
      <w:r>
        <w:t xml:space="preserve">Emission Factor: 0.09 kg CO2e/tkm</w:t>
      </w:r>
    </w:p>
    <w:p>
      <w:pPr>
        <w:numPr>
          <w:ilvl w:val="2"/>
          <w:numId w:val="1018"/>
        </w:numPr>
        <w:pStyle w:val="Compact"/>
      </w:pPr>
      <w:r>
        <w:t xml:space="preserve">Calculation: 0.0015 tonnes * 200 km * 0.09 kg CO2e/tkm = 0.027 kg CO2e</w:t>
      </w:r>
    </w:p>
    <w:p>
      <w:pPr>
        <w:numPr>
          <w:ilvl w:val="0"/>
          <w:numId w:val="1000"/>
        </w:numPr>
      </w:pPr>
      <w:r>
        <w:rPr>
          <w:bCs/>
          <w:b/>
        </w:rPr>
        <w:t xml:space="preserve">Subtotal Category 9 (Illustrative): 0.39 kg CO2e</w:t>
      </w:r>
    </w:p>
    <w:p>
      <w:pPr>
        <w:numPr>
          <w:ilvl w:val="0"/>
          <w:numId w:val="1015"/>
        </w:numPr>
      </w:pPr>
      <w:r>
        <w:rPr>
          <w:bCs/>
          <w:b/>
        </w:rPr>
        <w:t xml:space="preserve">Category 11: Use of Sold Products</w:t>
      </w:r>
    </w:p>
    <w:p>
      <w:pPr>
        <w:numPr>
          <w:ilvl w:val="0"/>
          <w:numId w:val="1000"/>
        </w:numPr>
      </w:pPr>
      <w:r>
        <w:t xml:space="preserve">These emissions are calculated based on the Product Lifespan (`wjirdgzqgy`) and Energy Consumption in Use (`kgndkmrmxz`).</w:t>
      </w:r>
    </w:p>
    <w:p>
      <w:pPr>
        <w:numPr>
          <w:ilvl w:val="1"/>
          <w:numId w:val="1019"/>
        </w:numPr>
        <w:pStyle w:val="Compact"/>
      </w:pPr>
      <w:r>
        <w:t xml:space="preserve">Product Lifespan: 5 years</w:t>
      </w:r>
    </w:p>
    <w:p>
      <w:pPr>
        <w:numPr>
          <w:ilvl w:val="1"/>
          <w:numId w:val="1019"/>
        </w:numPr>
        <w:pStyle w:val="Compact"/>
      </w:pPr>
      <w:r>
        <w:t xml:space="preserve">Energy Consumption in Use: 10 kWh/year</w:t>
      </w:r>
    </w:p>
    <w:p>
      <w:pPr>
        <w:numPr>
          <w:ilvl w:val="1"/>
          <w:numId w:val="1019"/>
        </w:numPr>
        <w:pStyle w:val="Compact"/>
      </w:pPr>
      <w:r>
        <w:t xml:space="preserve">Total Energy Consumption: 5 years * 10 kWh/year = 50 kWh</w:t>
      </w:r>
    </w:p>
    <w:p>
      <w:pPr>
        <w:numPr>
          <w:ilvl w:val="1"/>
          <w:numId w:val="1019"/>
        </w:numPr>
        <w:pStyle w:val="Compact"/>
      </w:pPr>
      <w:r>
        <w:t xml:space="preserve">Emission Factor (Europe Grid, as product is used in Europe-focused supply chain): 0.2 kg CO2e/kWh</w:t>
      </w:r>
    </w:p>
    <w:p>
      <w:pPr>
        <w:numPr>
          <w:ilvl w:val="1"/>
          <w:numId w:val="1019"/>
        </w:numPr>
        <w:pStyle w:val="Compact"/>
      </w:pPr>
      <w:r>
        <w:t xml:space="preserve">Calculation: 50 kWh * 0.2 kg CO2e/kWh = 10.0 kg CO2e</w:t>
      </w:r>
    </w:p>
    <w:p>
      <w:pPr>
        <w:numPr>
          <w:ilvl w:val="0"/>
          <w:numId w:val="1000"/>
        </w:numPr>
      </w:pPr>
      <w:r>
        <w:rPr>
          <w:bCs/>
          <w:b/>
        </w:rPr>
        <w:t xml:space="preserve">Subtotal Category 11 (Illustrative): 10.0 kg CO2e</w:t>
      </w:r>
    </w:p>
    <w:p>
      <w:pPr>
        <w:numPr>
          <w:ilvl w:val="0"/>
          <w:numId w:val="1015"/>
        </w:numPr>
      </w:pPr>
      <w:r>
        <w:rPr>
          <w:bCs/>
          <w:b/>
        </w:rPr>
        <w:t xml:space="preserve">Category 12: End-of-Life Treatment of Sold Products</w:t>
      </w:r>
    </w:p>
    <w:p>
      <w:pPr>
        <w:numPr>
          <w:ilvl w:val="0"/>
          <w:numId w:val="1000"/>
        </w:numPr>
      </w:pPr>
      <w:r>
        <w:t xml:space="preserve">This accounts for emissions from disposal and recycling after the product\'s useful life. Assumptions: total product weight for EoL = 1.5 kg. Recyclability Percentage (`yktmuitkzd`) = 70%. Circular/Take-back Programs (`jqtykdgqpt`) are in place, ensuring 100% of recyclable material is recovered. Remaining 30% goes to landfill.</w:t>
      </w:r>
    </w:p>
    <w:p>
      <w:pPr>
        <w:numPr>
          <w:ilvl w:val="1"/>
          <w:numId w:val="1020"/>
        </w:numPr>
        <w:pStyle w:val="Compact"/>
      </w:pPr>
      <w:r>
        <w:rPr>
          <w:bCs/>
          <w:b/>
        </w:rPr>
        <w:t xml:space="preserve">Recycled Portion:</w:t>
      </w:r>
    </w:p>
    <w:p>
      <w:pPr>
        <w:numPr>
          <w:ilvl w:val="2"/>
          <w:numId w:val="1021"/>
        </w:numPr>
        <w:pStyle w:val="Compact"/>
      </w:pPr>
      <w:r>
        <w:t xml:space="preserve">Mass: 1.5 kg * 70% = 1.05 kg</w:t>
      </w:r>
    </w:p>
    <w:p>
      <w:pPr>
        <w:numPr>
          <w:ilvl w:val="2"/>
          <w:numId w:val="1021"/>
        </w:numPr>
        <w:pStyle w:val="Compact"/>
      </w:pPr>
      <w:r>
        <w:t xml:space="preserve">Emissions from recycling process (e.g., plastic processing): 1.05 kg * 0.202 kg CO2e/kg = 0.21 kg CO2e. This accounts for the energy used in the recycling facility.</w:t>
      </w:r>
      <w:r>
        <w:br/>
      </w:r>
      <w:r>
        <w:rPr>
          <w:iCs/>
          <w:i/>
        </w:rPr>
        <w:t xml:space="preserve">(Note: The significant environmental benefit of recycling lies in the avoidance of virgin material production, which is captured upstream in Category 1. Here, we calculate the emissions directly attributable to the end-of-life recycling process itself.)</w:t>
      </w:r>
    </w:p>
    <w:p>
      <w:pPr>
        <w:numPr>
          <w:ilvl w:val="1"/>
          <w:numId w:val="1020"/>
        </w:numPr>
        <w:pStyle w:val="Compact"/>
      </w:pPr>
      <w:r>
        <w:rPr>
          <w:bCs/>
          <w:b/>
        </w:rPr>
        <w:t xml:space="preserve">Landfilled Portion:</w:t>
      </w:r>
    </w:p>
    <w:p>
      <w:pPr>
        <w:numPr>
          <w:ilvl w:val="2"/>
          <w:numId w:val="1022"/>
        </w:numPr>
        <w:pStyle w:val="Compact"/>
      </w:pPr>
      <w:r>
        <w:t xml:space="preserve">Mass: 1.5 kg * 30% = 0.45 kg</w:t>
      </w:r>
    </w:p>
    <w:p>
      <w:pPr>
        <w:numPr>
          <w:ilvl w:val="2"/>
          <w:numId w:val="1022"/>
        </w:numPr>
        <w:pStyle w:val="Compact"/>
      </w:pPr>
      <w:r>
        <w:t xml:space="preserve">Emission Factor (Landfill, general waste): 0.033 kg CO2e/kg</w:t>
      </w:r>
    </w:p>
    <w:p>
      <w:pPr>
        <w:numPr>
          <w:ilvl w:val="2"/>
          <w:numId w:val="1022"/>
        </w:numPr>
        <w:pStyle w:val="Compact"/>
      </w:pPr>
      <w:r>
        <w:t xml:space="preserve">Calculation: 0.45 kg * 0.033 kg CO2e/kg = 0.015 kg CO2e</w:t>
      </w:r>
    </w:p>
    <w:p>
      <w:pPr>
        <w:numPr>
          <w:ilvl w:val="0"/>
          <w:numId w:val="1000"/>
        </w:numPr>
      </w:pPr>
      <w:r>
        <w:rPr>
          <w:bCs/>
          <w:b/>
        </w:rPr>
        <w:t xml:space="preserve">Subtotal Category 12 (Illustrative): 0.23 kg CO2e</w:t>
      </w:r>
    </w:p>
    <w:bookmarkEnd w:id="40"/>
    <w:bookmarkEnd w:id="41"/>
    <w:bookmarkStart w:id="42" w:name="Xacf18fa8957e1f046de293c55a55509dc5caf5b"/>
    <w:p>
      <w:pPr>
        <w:pStyle w:val="Heading4"/>
      </w:pPr>
      <w:r>
        <w:t xml:space="preserve">4.2.4. Summary of Illustrative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Illustrative Emissions (kg CO2e)</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Manufacturing</w:t>
            </w:r>
          </w:p>
        </w:tc>
        <w:tc>
          <w:tcPr/>
          <w:p>
            <w:pPr>
              <w:pStyle w:val="Compact"/>
              <w:jc w:val="left"/>
            </w:pPr>
            <w:r>
              <w:t xml:space="preserve">2.40</w:t>
            </w:r>
          </w:p>
        </w:tc>
      </w:tr>
      <w:tr>
        <w:tc>
          <w:tcPr>
            <w:vMerge w:val="restart"/>
          </w:tcPr>
          <w:p>
            <w:pPr>
              <w:pStyle w:val="Compact"/>
              <w:jc w:val="left"/>
            </w:pPr>
            <w:r>
              <w:t xml:space="preserve">Scope 3</w:t>
            </w:r>
          </w:p>
        </w:tc>
        <w:tc>
          <w:tcPr/>
          <w:p>
            <w:pPr>
              <w:pStyle w:val="Compact"/>
              <w:jc w:val="left"/>
            </w:pPr>
            <w:r>
              <w:t xml:space="preserve">1</w:t>
            </w:r>
          </w:p>
        </w:tc>
        <w:tc>
          <w:tcPr/>
          <w:p>
            <w:pPr>
              <w:pStyle w:val="Compact"/>
              <w:jc w:val="left"/>
            </w:pPr>
            <w:r>
              <w:t xml:space="preserve">Purchased Goods and Services (Materials)</w:t>
            </w:r>
          </w:p>
        </w:tc>
        <w:tc>
          <w:tcPr/>
          <w:p>
            <w:pPr>
              <w:pStyle w:val="Compact"/>
              <w:jc w:val="left"/>
            </w:pPr>
            <w:r>
              <w:t xml:space="preserve">8.43</w:t>
            </w:r>
          </w:p>
        </w:tc>
      </w:tr>
      <w:tr>
        <w:tc>
          <w:tcPr>
            <w:gridSpan w:val="1"/>
            <w:vMerge w:val="continue"/>
          </w:tcPr>
          <w:p>
            <w:pPr/>
          </w:p>
        </w:tc>
        <w:tc>
          <w:tcPr/>
          <w:p>
            <w:pPr>
              <w:pStyle w:val="Compact"/>
              <w:jc w:val="left"/>
            </w:pPr>
            <w:r>
              <w:t xml:space="preserve">4</w:t>
            </w:r>
          </w:p>
        </w:tc>
        <w:tc>
          <w:tcPr/>
          <w:p>
            <w:pPr>
              <w:pStyle w:val="Compact"/>
              <w:jc w:val="left"/>
            </w:pPr>
            <w:r>
              <w:t xml:space="preserve">Upstream Transportation and Distribution</w:t>
            </w:r>
          </w:p>
        </w:tc>
        <w:tc>
          <w:tcPr/>
          <w:p>
            <w:pPr>
              <w:pStyle w:val="Compact"/>
              <w:jc w:val="left"/>
            </w:pPr>
            <w:r>
              <w:t xml:space="preserve">0.37</w:t>
            </w:r>
          </w:p>
        </w:tc>
      </w:tr>
      <w:tr>
        <w:tc>
          <w:tcPr>
            <w:gridSpan w:val="1"/>
            <w:vMerge w:val="continue"/>
          </w:tcPr>
          <w:p>
            <w:pPr/>
          </w:p>
        </w:tc>
        <w:tc>
          <w:tcPr/>
          <w:p>
            <w:pPr>
              <w:pStyle w:val="Compact"/>
              <w:jc w:val="left"/>
            </w:pPr>
            <w:r>
              <w:t xml:space="preserve">9</w:t>
            </w:r>
          </w:p>
        </w:tc>
        <w:tc>
          <w:tcPr/>
          <w:p>
            <w:pPr>
              <w:pStyle w:val="Compact"/>
              <w:jc w:val="left"/>
            </w:pPr>
            <w:r>
              <w:t xml:space="preserve">Downstream Transportation and Distribution</w:t>
            </w:r>
          </w:p>
        </w:tc>
        <w:tc>
          <w:tcPr/>
          <w:p>
            <w:pPr>
              <w:pStyle w:val="Compact"/>
              <w:jc w:val="left"/>
            </w:pPr>
            <w:r>
              <w:t xml:space="preserve">0.39</w:t>
            </w:r>
          </w:p>
        </w:tc>
      </w:tr>
      <w:tr>
        <w:tc>
          <w:tcPr>
            <w:gridSpan w:val="1"/>
            <w:vMerge w:val="continue"/>
          </w:tcPr>
          <w:p>
            <w:pPr/>
          </w:p>
        </w:tc>
        <w:tc>
          <w:tcPr/>
          <w:p>
            <w:pPr>
              <w:pStyle w:val="Compact"/>
              <w:jc w:val="left"/>
            </w:pPr>
            <w:r>
              <w:t xml:space="preserve">11</w:t>
            </w:r>
          </w:p>
        </w:tc>
        <w:tc>
          <w:tcPr/>
          <w:p>
            <w:pPr>
              <w:pStyle w:val="Compact"/>
              <w:jc w:val="left"/>
            </w:pPr>
            <w:r>
              <w:t xml:space="preserve">Use of Sold Products</w:t>
            </w:r>
          </w:p>
        </w:tc>
        <w:tc>
          <w:tcPr/>
          <w:p>
            <w:pPr>
              <w:pStyle w:val="Compact"/>
              <w:jc w:val="left"/>
            </w:pPr>
            <w:r>
              <w:t xml:space="preserve">10.00</w:t>
            </w:r>
          </w:p>
        </w:tc>
      </w:tr>
      <w:tr>
        <w:tc>
          <w:tcPr>
            <w:gridSpan w:val="1"/>
            <w:vMerge w:val="continue"/>
          </w:tcPr>
          <w:p>
            <w:pPr/>
          </w:p>
        </w:tc>
        <w:tc>
          <w:tcPr/>
          <w:p>
            <w:pPr>
              <w:pStyle w:val="Compact"/>
              <w:jc w:val="left"/>
            </w:pPr>
            <w:r>
              <w:t xml:space="preserve">12</w:t>
            </w:r>
          </w:p>
        </w:tc>
        <w:tc>
          <w:tcPr/>
          <w:p>
            <w:pPr>
              <w:pStyle w:val="Compact"/>
              <w:jc w:val="left"/>
            </w:pPr>
            <w:r>
              <w:t xml:space="preserve">End-of-Life Treatment of Sold Products</w:t>
            </w:r>
          </w:p>
        </w:tc>
        <w:tc>
          <w:tcPr/>
          <w:p>
            <w:pPr>
              <w:pStyle w:val="Compact"/>
              <w:jc w:val="left"/>
            </w:pPr>
            <w:r>
              <w:t xml:space="preserve">0.23</w:t>
            </w:r>
          </w:p>
        </w:tc>
      </w:tr>
      <w:tr>
        <w:tc>
          <w:tcPr>
            <w:gridSpan w:val="3"/>
          </w:tcPr>
          <w:p>
            <w:pPr>
              <w:pStyle w:val="Compact"/>
              <w:jc w:val="left"/>
            </w:pPr>
            <w:r>
              <w:rPr>
                <w:bCs/>
                <w:b/>
              </w:rPr>
              <w:t xml:space="preserve">Total Product Carbon Footprint (Illustrative)</w:t>
            </w:r>
          </w:p>
        </w:tc>
        <w:tc>
          <w:tcPr/>
          <w:p>
            <w:pPr>
              <w:pStyle w:val="Compact"/>
              <w:jc w:val="left"/>
            </w:pPr>
            <w:r>
              <w:rPr>
                <w:bCs/>
                <w:b/>
              </w:rPr>
              <w:t xml:space="preserve">21.82</w:t>
            </w:r>
          </w:p>
        </w:tc>
      </w:tr>
    </w:tbl>
    <w:bookmarkEnd w:id="42"/>
    <w:bookmarkEnd w:id="43"/>
    <w:bookmarkStart w:id="44" w:name="X439aeab12f653c5be8a9767687610423a65f1bc"/>
    <w:p>
      <w:pPr>
        <w:pStyle w:val="Heading3"/>
      </w:pPr>
      <w:r>
        <w:t xml:space="preserve">4.3. 2026 LSR Update: Land Sector and Removals (LSR) Standard</w:t>
      </w:r>
    </w:p>
    <w:p>
      <w:pPr>
        <w:pStyle w:val="FirstParagraph"/>
      </w:pPr>
      <w:r>
        <w:t xml:space="preserve">The 2026 Land Sector and Removals (LSR) Standard is applied to account for land use, land-use change, and carbon removals. While the specific product snwwpsdvnr does not explicitly detail bio-based materials or direct land-use change in its provided BOM, the LSR Standard\'s principles are integrated by acknowledging the potential for biogenic carbon (e.g., in cardboard packaging) and any potential carbon sequestration or emissions related to land use within the supply chain. For packaging made from renewable sources like wood or paper, the biogenic carbon uptake is accounted for at the point of harvest, and subsequent emissions at end-of-life (e.g., incineration or decomposition) are tracked to ensure a balanced accounting of the carbon cycle.</w:t>
      </w:r>
    </w:p>
    <w:bookmarkEnd w:id="44"/>
    <w:bookmarkStart w:id="45" w:name="scope-3-compliance"/>
    <w:p>
      <w:pPr>
        <w:pStyle w:val="Heading3"/>
      </w:pPr>
      <w:r>
        <w:t xml:space="preserve">4.4. Scope 3 Compliance</w:t>
      </w:r>
    </w:p>
    <w:p>
      <w:pPr>
        <w:pStyle w:val="FirstParagraph"/>
      </w:pPr>
      <w:r>
        <w:t xml:space="preserve">This analysis has systematically addressed multiple Scope 3 categories (1, 4, 9, 11, 12) to ensure a comprehensive assessment of the value chain. By including emissions from purchased materials, all relevant transport stages (upstream and downstream), the energy-intensive use phase, and end-of-life scenarios, the report aims for at least 95% coverage for Scope 3 reporting, in line with emerging 2026 requirements of the GHG Protocol Corporate Value Chain (Scope 3) Standard. The detailed breakdown helps in identifying and prioritizing reduction efforts across the entire product lifecycle.</w:t>
      </w:r>
    </w:p>
    <w:p>
      <w:r>
        <w:pict>
          <v:rect style="width:0;height:1.5pt" o:hralign="center" o:hrstd="t" o:hr="t"/>
        </w:pict>
      </w:r>
    </w:p>
    <w:bookmarkEnd w:id="45"/>
    <w:bookmarkEnd w:id="46"/>
    <w:bookmarkStart w:id="51" w:name="review-report-step-5"/>
    <w:p>
      <w:pPr>
        <w:pStyle w:val="Heading2"/>
      </w:pPr>
      <w:r>
        <w:t xml:space="preserve">5. Review &amp; Report (Step 5)</w:t>
      </w:r>
    </w:p>
    <w:bookmarkStart w:id="47" w:name="emission-hotspots-identification"/>
    <w:p>
      <w:pPr>
        <w:pStyle w:val="Heading3"/>
      </w:pPr>
      <w:r>
        <w:t xml:space="preserve">5.1. Emission Hotspots Identification</w:t>
      </w:r>
    </w:p>
    <w:p>
      <w:pPr>
        <w:pStyle w:val="FirstParagraph"/>
      </w:pPr>
      <w:r>
        <w:t xml:space="preserve">Based on the illustrative calculations, the primary emission hotspots for snwwpsdvnr are:</w:t>
      </w:r>
    </w:p>
    <w:p>
      <w:pPr>
        <w:numPr>
          <w:ilvl w:val="0"/>
          <w:numId w:val="1023"/>
        </w:numPr>
        <w:pStyle w:val="Compact"/>
      </w:pPr>
      <w:r>
        <w:rPr>
          <w:bCs/>
          <w:b/>
        </w:rPr>
        <w:t xml:space="preserve">Use Phase (Category 11):</w:t>
      </w:r>
      <w:r>
        <w:t xml:space="preserve"> </w:t>
      </w:r>
      <w:r>
        <w:t xml:space="preserve">The energy consumption during the product\'s 5-year lifespan significantly contributes to the overall footprint (approx. 45.8% of total illustrative PCF). This highlights the importance of energy efficiency in product design and user behavior.</w:t>
      </w:r>
    </w:p>
    <w:p>
      <w:pPr>
        <w:numPr>
          <w:ilvl w:val="0"/>
          <w:numId w:val="1023"/>
        </w:numPr>
        <w:pStyle w:val="Compact"/>
      </w:pPr>
      <w:r>
        <w:rPr>
          <w:bCs/>
          <w:b/>
        </w:rPr>
        <w:t xml:space="preserve">Purchased Goods and Services (Category 1):</w:t>
      </w:r>
      <w:r>
        <w:t xml:space="preserve"> </w:t>
      </w:r>
      <w:r>
        <w:t xml:space="preserve">Material production, particularly the Aluminum Casing, represents a substantial portion of upstream emissions (approx. 38.6% of total illustrative PCF). This emphasizes the need for material efficiency, lightweighting, and sourcing materials with lower embodied carbon.</w:t>
      </w:r>
    </w:p>
    <w:p>
      <w:pPr>
        <w:numPr>
          <w:ilvl w:val="0"/>
          <w:numId w:val="1023"/>
        </w:numPr>
        <w:pStyle w:val="Compact"/>
      </w:pPr>
      <w:r>
        <w:rPr>
          <w:bCs/>
          <w:b/>
        </w:rPr>
        <w:t xml:space="preserve">Production Energy (Scope 2):</w:t>
      </w:r>
      <w:r>
        <w:t xml:space="preserve"> </w:t>
      </w:r>
      <w:r>
        <w:t xml:space="preserve">Manufacturing energy consumption (even with some renewable energy usage) in China remains a significant contributor (approx. 11.0% of total illustrative PCF). Investing in higher renewable energy penetration and energy-efficient manufacturing processes is crucial.</w:t>
      </w:r>
    </w:p>
    <w:bookmarkEnd w:id="47"/>
    <w:bookmarkStart w:id="48" w:name="data-reliability-and-limitations"/>
    <w:p>
      <w:pPr>
        <w:pStyle w:val="Heading3"/>
      </w:pPr>
      <w:r>
        <w:t xml:space="preserve">5.2. Data Reliability and Limitations</w:t>
      </w:r>
    </w:p>
    <w:p>
      <w:pPr>
        <w:pStyle w:val="FirstParagraph"/>
      </w:pPr>
      <w:r>
        <w:t xml:space="preserve">The reliability of this PCF analysis is directly dependent on the quality and availability of underlying activity data and emission factors.</w:t>
      </w:r>
    </w:p>
    <w:p>
      <w:pPr>
        <w:numPr>
          <w:ilvl w:val="0"/>
          <w:numId w:val="1024"/>
        </w:numPr>
        <w:pStyle w:val="Compact"/>
      </w:pPr>
      <w:r>
        <w:rPr>
          <w:bCs/>
          <w:b/>
        </w:rPr>
        <w:t xml:space="preserve">Primary Data:</w:t>
      </w:r>
      <w:r>
        <w:t xml:space="preserve"> </w:t>
      </w:r>
      <w:r>
        <w:t xml:space="preserve">Company-specific data (e.g., energy intensity, renewable energy usage, BOM quantities) are considered highly reliable.</w:t>
      </w:r>
    </w:p>
    <w:p>
      <w:pPr>
        <w:numPr>
          <w:ilvl w:val="0"/>
          <w:numId w:val="1024"/>
        </w:numPr>
        <w:pStyle w:val="Compact"/>
      </w:pPr>
      <w:r>
        <w:rPr>
          <w:bCs/>
          <w:b/>
        </w:rPr>
        <w:t xml:space="preserve">Secondary Data:</w:t>
      </w:r>
      <w:r>
        <w:t xml:space="preserve"> </w:t>
      </w:r>
      <w:r>
        <w:t xml:space="preserve">Industry-average emission factors (e.g., for general materials, transport modes, grid electricity) from databases like Ecoinvent and DEFRA are widely accepted but introduce some uncertainty due to their generic nature and temporal/geographic representativeness. Efforts were made to select factors appropriate to China for manufacturing and Europe for downstream impacts.</w:t>
      </w:r>
    </w:p>
    <w:p>
      <w:pPr>
        <w:numPr>
          <w:ilvl w:val="0"/>
          <w:numId w:val="1024"/>
        </w:numPr>
        <w:pStyle w:val="Compact"/>
      </w:pPr>
      <w:r>
        <w:rPr>
          <w:bCs/>
          <w:b/>
        </w:rPr>
        <w:t xml:space="preserve">Assumptions:</w:t>
      </w:r>
      <w:r>
        <w:t xml:space="preserve"> </w:t>
      </w:r>
      <w:r>
        <w:t xml:space="preserve">Where specific data was unavailable (e.g., precise transport routes for every component, detailed energy mix for manufacturing, exact end-of-life fates for all regions), reasonable assumptions based on typical industry practices and geographical context were made. These assumptions are noted in the report.</w:t>
      </w:r>
    </w:p>
    <w:p>
      <w:pPr>
        <w:numPr>
          <w:ilvl w:val="0"/>
          <w:numId w:val="1024"/>
        </w:numPr>
        <w:pStyle w:val="Compact"/>
      </w:pPr>
      <w:r>
        <w:rPr>
          <w:bCs/>
          <w:b/>
        </w:rPr>
        <w:t xml:space="preserve">Placeholder Data:</w:t>
      </w:r>
      <w:r>
        <w:t xml:space="preserve"> </w:t>
      </w:r>
      <w:r>
        <w:t xml:space="preserve">The illustrative BOM and other placeholder parameters (e.g., `nhtoowensx`, `dqkmuserdz`) necessitate the use of representative values for calculations, which may not reflect the exact real-world scenario of `jtzduenuxi` and `snwwpsdvnr` without actual, detailed input.</w:t>
      </w:r>
    </w:p>
    <w:bookmarkEnd w:id="48"/>
    <w:bookmarkStart w:id="50" w:name="recommendations-for-reduction"/>
    <w:p>
      <w:pPr>
        <w:pStyle w:val="Heading3"/>
      </w:pPr>
      <w:r>
        <w:t xml:space="preserve">5.3. Recommendations for Reduction</w:t>
      </w:r>
    </w:p>
    <w:p>
      <w:pPr>
        <w:pStyle w:val="FirstParagraph"/>
      </w:pPr>
      <w:r>
        <w:t xml:space="preserve">Based on the identified hotspots, jtzduenuxi should consider:</w:t>
      </w:r>
    </w:p>
    <w:p>
      <w:pPr>
        <w:numPr>
          <w:ilvl w:val="0"/>
          <w:numId w:val="1025"/>
        </w:numPr>
        <w:pStyle w:val="Compact"/>
      </w:pPr>
      <w:r>
        <w:rPr>
          <w:bCs/>
          <w:b/>
        </w:rPr>
        <w:t xml:space="preserve">Product Design Optimization:</w:t>
      </w:r>
      <w:r>
        <w:t xml:space="preserve"> </w:t>
      </w:r>
      <w:r>
        <w:t xml:space="preserve">Focus on designing for energy efficiency during the use phase and exploring alternative, lower-carbon materials for components like the aluminum casing.</w:t>
      </w:r>
    </w:p>
    <w:p>
      <w:pPr>
        <w:numPr>
          <w:ilvl w:val="0"/>
          <w:numId w:val="1025"/>
        </w:numPr>
        <w:pStyle w:val="Compact"/>
      </w:pPr>
      <w:r>
        <w:rPr>
          <w:bCs/>
          <w:b/>
        </w:rPr>
        <w:t xml:space="preserve">Supply Chain Engagement:</w:t>
      </w:r>
      <w:r>
        <w:t xml:space="preserve"> </w:t>
      </w:r>
      <w:r>
        <w:t xml:space="preserve">Collaborate with suppliers to identify and procure materials with lower embodied carbon and optimize upstream logistics to reduce transport emissions.</w:t>
      </w:r>
    </w:p>
    <w:p>
      <w:pPr>
        <w:numPr>
          <w:ilvl w:val="0"/>
          <w:numId w:val="1025"/>
        </w:numPr>
        <w:pStyle w:val="Compact"/>
      </w:pPr>
      <w:r>
        <w:rPr>
          <w:bCs/>
          <w:b/>
        </w:rPr>
        <w:t xml:space="preserve">Manufacturing Process Improvements:</w:t>
      </w:r>
      <w:r>
        <w:t xml:space="preserve"> </w:t>
      </w:r>
      <w:r>
        <w:t xml:space="preserve">Increase the share of renewable energy in manufacturing facilities beyond `dqkmuserdz` and implement energy-efficient production technologies.</w:t>
      </w:r>
    </w:p>
    <w:p>
      <w:pPr>
        <w:numPr>
          <w:ilvl w:val="0"/>
          <w:numId w:val="1025"/>
        </w:numPr>
        <w:pStyle w:val="Compact"/>
      </w:pPr>
      <w:r>
        <w:rPr>
          <w:bCs/>
          <w:b/>
        </w:rPr>
        <w:t xml:space="preserve">Circular Economy Initiatives:</w:t>
      </w:r>
      <w:r>
        <w:t xml:space="preserve"> </w:t>
      </w:r>
      <w:r>
        <w:t xml:space="preserve">Enhance existing `jqtykdgqpt` programs and explore higher recyclability rates for materials, including designing products for easier disassembly and material recovery.</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snwwpsdvnr</dc:title>
  <dc:creator/>
  <dc:description>Detailed Product Carbon Footprint (PCF) analysis report for product snwwpsdvnr, performed by Senior Sustainability Consultant dhdonoozpf for company jtzduenuxi, adhering to GHG Protocol standards including 2026 LSR update and 95% Scope 3 coverage.</dc:description>
  <dc:language>en</dc:language>
  <cp:keywords/>
  <dcterms:created xsi:type="dcterms:W3CDTF">2026-07-15T18:08:00Z</dcterms:created>
  <dcterms:modified xsi:type="dcterms:W3CDTF">2026-07-15T18:08:00Z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