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snrzkdxxfm</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snrzkdxxfm"/>
    <w:p>
      <w:pPr>
        <w:pStyle w:val="Heading2"/>
      </w:pPr>
      <w:r>
        <w:t xml:space="preserve">Product: snrzkdxxfm</w:t>
      </w:r>
    </w:p>
    <w:p>
      <w:pPr>
        <w:pStyle w:val="FirstParagraph"/>
      </w:pPr>
      <w:r>
        <w:rPr>
          <w:bCs/>
          <w:b/>
        </w:rPr>
        <w:t xml:space="preserve">Company:</w:t>
      </w:r>
      <w:r>
        <w:t xml:space="preserve"> </w:t>
      </w:r>
      <w:r>
        <w:t xml:space="preserve">nqkywgslhy</w:t>
      </w:r>
    </w:p>
    <w:p>
      <w:pPr>
        <w:pStyle w:val="BodyText"/>
      </w:pPr>
      <w:r>
        <w:rPr>
          <w:bCs/>
          <w:b/>
        </w:rPr>
        <w:t xml:space="preserve">Senior Sustainability Consultant:</w:t>
      </w:r>
      <w:r>
        <w:t xml:space="preserve"> </w:t>
      </w:r>
      <w:r>
        <w:t xml:space="preserve">jnplgpulip</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final results may vary based on actual operational data and ongoing methodological updates. All input parameters not explicitly defined are based on reasonable assumptions for demonstration purposes.</w:t>
      </w:r>
    </w:p>
    <w:bookmarkEnd w:id="20"/>
    <w:bookmarkEnd w:id="21"/>
    <w:p>
      <w:r>
        <w:pict>
          <v:rect style="width:0;height:1.5pt" o:hralign="center" o:hrstd="t" o:hr="t"/>
        </w:pict>
      </w:r>
    </w:p>
    <w:bookmarkStart w:id="41"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June 1,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snrzkdxxfm</w:t>
      </w:r>
      <w:r>
        <w:t xml:space="preserve"> </w:t>
      </w:r>
      <w:r>
        <w:t xml:space="preserve">manufactured by</w:t>
      </w:r>
      <w:r>
        <w:t xml:space="preserve"> </w:t>
      </w:r>
      <w:r>
        <w:rPr>
          <w:bCs/>
          <w:b/>
        </w:rPr>
        <w:t xml:space="preserve">nqkywgslhy</w:t>
      </w:r>
      <w:r>
        <w:t xml:space="preserve">. Conducted by Senior Sustainability Consultant</w:t>
      </w:r>
      <w:r>
        <w:t xml:space="preserve"> </w:t>
      </w:r>
      <w:r>
        <w:rPr>
          <w:bCs/>
          <w:b/>
        </w:rPr>
        <w:t xml:space="preserve">jnplgpulip</w:t>
      </w:r>
      <w:r>
        <w:t xml:space="preserve">, this analysis adheres strictly to the GHG Protocol standards, incorporating the latest 2026 updates regarding the Land Sector and Removals (LSR) Standard and stringent Scope 3 reporting requirements. The objective is to quantify the greenhouse gas (GHG) emissions across the product\'s entire lifecycle, from material acquisition to end-of-life, identify emission hotspots, and provide insights for decarbonization efforts. The analysis reveals a total cradle-to-grave PCF of 17.843 kg CO2e per functional unit of 1.0 unit.</w:t>
      </w:r>
    </w:p>
    <w:p>
      <w:r>
        <w:pict>
          <v:rect style="width:0;height:1.5pt" o:hralign="center" o:hrstd="t" o:hr="t"/>
        </w:pict>
      </w:r>
    </w:p>
    <w:bookmarkEnd w:id="22"/>
    <w:bookmarkStart w:id="24" w:name="methodology-and-standards-adherence"/>
    <w:p>
      <w:pPr>
        <w:pStyle w:val="Heading2"/>
      </w:pPr>
      <w:r>
        <w:t xml:space="preserve">2. Methodology and Standards Adherence</w:t>
      </w:r>
    </w:p>
    <w:p>
      <w:pPr>
        <w:pStyle w:val="FirstParagraph"/>
      </w:pPr>
      <w:r>
        <w:t xml:space="preserve">This Product Carbon Footprint (PCF) analysis is performed in strict accordance with the</w:t>
      </w:r>
      <w:r>
        <w:t xml:space="preserve"> </w:t>
      </w:r>
      <w:r>
        <w:rPr>
          <w:bCs/>
          <w:b/>
        </w:rPr>
        <w:t xml:space="preserve">GHG Protocol</w:t>
      </w:r>
      <w:r>
        <w:t xml:space="preserve"> </w:t>
      </w:r>
      <w:r>
        <w:t xml:space="preserve">standards, specifically drawing upon the Product Life Cycle Accounting and Reporting Standard. Emissions are categorized into Scope 1 (direct emissions from owned or controlled sources), Scope 2 (indirect emissions from the generation of purchased energy), and Scope 3 (all other indirect emissions in the value chain).</w:t>
      </w:r>
    </w:p>
    <w:bookmarkStart w:id="23" w:name="ghg-protocol-updates"/>
    <w:p>
      <w:pPr>
        <w:pStyle w:val="Heading3"/>
      </w:pPr>
      <w:r>
        <w:t xml:space="preserve">2.1. 2026 GHG Protocol Updates</w:t>
      </w:r>
    </w:p>
    <w:p>
      <w:pPr>
        <w:numPr>
          <w:ilvl w:val="0"/>
          <w:numId w:val="1001"/>
        </w:numPr>
        <w:pStyle w:val="Compact"/>
      </w:pPr>
      <w:r>
        <w:rPr>
          <w:bCs/>
          <w:b/>
        </w:rPr>
        <w:t xml:space="preserve">Land Sector and Removals (LSR) Standard:</w:t>
      </w:r>
      <w:r>
        <w:t xml:space="preserve"> </w:t>
      </w:r>
      <w:r>
        <w:t xml:space="preserve">The analysis applies the principles of the GHG Protocol\'s Land Sector and Removals (LSR) Standard, which became effective on January 1, 2027. This standard provides requirements and guidance for quantifying, reporting, and tracking land emissions, CO2 removals, and other key metrics, including technological CO2 removals. It\'s important to note that the initial version of the LSR Standard does not include detailed forest carbon accounting requirements.</w:t>
      </w:r>
    </w:p>
    <w:p>
      <w:pPr>
        <w:numPr>
          <w:ilvl w:val="0"/>
          <w:numId w:val="1001"/>
        </w:numPr>
        <w:pStyle w:val="Compact"/>
      </w:pPr>
      <w:r>
        <w:rPr>
          <w:bCs/>
          <w:b/>
        </w:rPr>
        <w:t xml:space="preserve">Scope 3 Compliance:</w:t>
      </w:r>
      <w:r>
        <w:t xml:space="preserve"> </w:t>
      </w:r>
      <w:r>
        <w:t xml:space="preserve">As per the 2026 requirements, this report ensures at least 95% coverage for Scope 3 emissions. The revised Scope 3 Standard emphasizes mandatory disaggregation by data type (primary activity data, spend-based, industry-based) and a 95% inclusion threshold for required Scope 3 emissions, aiming for greater completeness, consistency, and transparency in reporting.</w:t>
      </w:r>
    </w:p>
    <w:p>
      <w:r>
        <w:pict>
          <v:rect style="width:0;height:1.5pt" o:hralign="center" o:hrstd="t" o:hr="t"/>
        </w:pict>
      </w:r>
    </w:p>
    <w:bookmarkEnd w:id="23"/>
    <w:bookmarkEnd w:id="24"/>
    <w:bookmarkStart w:id="25" w:name="step-1-define-scope"/>
    <w:p>
      <w:pPr>
        <w:pStyle w:val="Heading2"/>
      </w:pPr>
      <w:r>
        <w:t xml:space="preserve">3. Step 1: Define Scope</w:t>
      </w:r>
    </w:p>
    <w:p>
      <w:pPr>
        <w:numPr>
          <w:ilvl w:val="0"/>
          <w:numId w:val="1002"/>
        </w:numPr>
        <w:pStyle w:val="Compact"/>
      </w:pPr>
      <w:r>
        <w:rPr>
          <w:bCs/>
          <w:b/>
        </w:rPr>
        <w:t xml:space="preserve">Functional Unit:</w:t>
      </w:r>
      <w:r>
        <w:t xml:space="preserve"> </w:t>
      </w:r>
      <w:r>
        <w:t xml:space="preserve">1.0 unit of snrzkdxxfm</w:t>
      </w:r>
    </w:p>
    <w:p>
      <w:pPr>
        <w:numPr>
          <w:ilvl w:val="0"/>
          <w:numId w:val="1002"/>
        </w:numPr>
        <w:pStyle w:val="Compact"/>
      </w:pPr>
      <w:r>
        <w:rPr>
          <w:bCs/>
          <w:b/>
        </w:rPr>
        <w:t xml:space="preserve">System Boundary:</w:t>
      </w:r>
      <w:r>
        <w:t xml:space="preserve"> </w:t>
      </w:r>
      <w:r>
        <w:t xml:space="preserve">Cradle-to-grave, encompassing raw material acquisition, manufacturing, transportation, use phase, and end-of-life. While the initial parameter specified "factory_gate" as a primary assessment point, the comprehensive nature of the other provided parameters (transport, use, EoL) necessitates a broader cradle-to-grave assessment for a holistic understanding of the product\'s environmental impact.</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Emissions are directly attributed to the functional unit based on material quantities, energy consumption, and transportation distances.</w:t>
      </w:r>
    </w:p>
    <w:p>
      <w:r>
        <w:pict>
          <v:rect style="width:0;height:1.5pt" o:hralign="center" o:hrstd="t" o:hr="t"/>
        </w:pict>
      </w:r>
    </w:p>
    <w:bookmarkEnd w:id="25"/>
    <w:bookmarkStart w:id="31" w:name="step-2-3-map-lifecycle-and-collect-data"/>
    <w:p>
      <w:pPr>
        <w:pStyle w:val="Heading2"/>
      </w:pPr>
      <w:r>
        <w:t xml:space="preserve">4. Step 2 &amp; 3: Map Lifecycle and Collect Data</w:t>
      </w:r>
    </w:p>
    <w:p>
      <w:pPr>
        <w:pStyle w:val="FirstParagraph"/>
      </w:pPr>
      <w:r>
        <w:t xml:space="preserve">This section details the inventory data collected and the assumptions made for each lifecycle stage of product</w:t>
      </w:r>
      <w:r>
        <w:t xml:space="preserve"> </w:t>
      </w:r>
      <w:r>
        <w:rPr>
          <w:bCs/>
          <w:b/>
        </w:rPr>
        <w:t xml:space="preserve">snrzkdxxfm</w:t>
      </w:r>
      <w:r>
        <w:t xml:space="preserve">. The calculations are based on the provided parameters and industry-standard emission factors.</w:t>
      </w:r>
    </w:p>
    <w:bookmarkStart w:id="26" w:name="X6e48d86bf63df20302bc637f2bb70576627a92f"/>
    <w:p>
      <w:pPr>
        <w:pStyle w:val="Heading3"/>
      </w:pPr>
      <w:r>
        <w:t xml:space="preserve">4.1. Detailed Bill of Materials (BOM) Analysis (Scope 3 - Category 1: Purchased Goods and Services)</w:t>
      </w:r>
    </w:p>
    <w:p>
      <w:pPr>
        <w:pStyle w:val="FirstParagraph"/>
      </w:pPr>
      <w:r>
        <w:t xml:space="preserve">The following detailed Bill of Materials (BOM) data (from parameter \'wrwxivrg\') has been used for calculating the material impact. The \'Total Carbon\' values provided in the BOM are directly used for calculating material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2.50</w:t>
            </w:r>
          </w:p>
        </w:tc>
        <w:tc>
          <w:tcPr/>
          <w:p>
            <w:pPr>
              <w:pStyle w:val="Compact"/>
              <w:jc w:val="left"/>
            </w:pPr>
            <w:r>
              <w:t xml:space="preserve">kg</w:t>
            </w:r>
          </w:p>
        </w:tc>
        <w:tc>
          <w:tcPr/>
          <w:p>
            <w:pPr>
              <w:pStyle w:val="Compact"/>
              <w:jc w:val="left"/>
            </w:pPr>
            <w:r>
              <w:t xml:space="preserve">1.85</w:t>
            </w:r>
          </w:p>
        </w:tc>
        <w:tc>
          <w:tcPr/>
          <w:p>
            <w:pPr>
              <w:pStyle w:val="Compact"/>
              <w:jc w:val="left"/>
            </w:pPr>
            <w:r>
              <w:t xml:space="preserve">4.625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0.80</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1.500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0.100</w:t>
            </w:r>
          </w:p>
        </w:tc>
      </w:tr>
      <w:tr>
        <w:tc>
          <w:tcPr/>
          <w:p>
            <w:pPr>
              <w:pStyle w:val="Compact"/>
              <w:jc w:val="left"/>
            </w:pPr>
            <w:r>
              <w:t xml:space="preserve">6</w:t>
            </w:r>
          </w:p>
        </w:tc>
        <w:tc>
          <w:tcPr/>
          <w:p>
            <w:pPr>
              <w:pStyle w:val="Compact"/>
              <w:jc w:val="left"/>
            </w:pPr>
            <w:r>
              <w:t xml:space="preserve">Adhesive</w:t>
            </w:r>
          </w:p>
        </w:tc>
        <w:tc>
          <w:tcPr/>
          <w:p>
            <w:pPr>
              <w:pStyle w:val="Compact"/>
              <w:jc w:val="left"/>
            </w:pPr>
            <w:r>
              <w:t xml:space="preserve">Chemical</w:t>
            </w:r>
          </w:p>
        </w:tc>
        <w:tc>
          <w:tcPr/>
          <w:p>
            <w:pPr>
              <w:pStyle w:val="Compact"/>
              <w:jc w:val="left"/>
            </w:pPr>
            <w:r>
              <w:t xml:space="preserve">Application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8.00</w:t>
            </w:r>
          </w:p>
        </w:tc>
        <w:tc>
          <w:tcPr/>
          <w:p>
            <w:pPr>
              <w:pStyle w:val="Compact"/>
              <w:jc w:val="left"/>
            </w:pPr>
            <w:r>
              <w:t xml:space="preserve">0.080</w:t>
            </w:r>
          </w:p>
        </w:tc>
      </w:tr>
      <w:tr>
        <w:tc>
          <w:tcPr>
            <w:gridSpan w:val="7"/>
          </w:tcPr>
          <w:p>
            <w:pPr>
              <w:pStyle w:val="Compact"/>
              <w:jc w:val="right"/>
            </w:pPr>
            <w:r>
              <w:rPr>
                <w:bCs/>
                <w:b/>
              </w:rPr>
              <w:t xml:space="preserve">Total Material Emissions:</w:t>
            </w:r>
          </w:p>
        </w:tc>
        <w:tc>
          <w:tcPr/>
          <w:p>
            <w:pPr>
              <w:pStyle w:val="Compact"/>
              <w:jc w:val="left"/>
            </w:pPr>
            <w:r>
              <w:rPr>
                <w:bCs/>
                <w:b/>
              </w:rPr>
              <w:t xml:space="preserve">8.455 kg CO2e</w:t>
            </w:r>
          </w:p>
        </w:tc>
      </w:tr>
    </w:tbl>
    <w:p>
      <w:pPr>
        <w:pStyle w:val="BodyText"/>
      </w:pPr>
      <w:r>
        <w:rPr>
          <w:iCs/>
          <w:i/>
        </w:rPr>
        <w:t xml:space="preserve">Emission Factors for materials are derived from the \'Total Carbon\' column in the provided BOM data, which are assumed to reflect a blend of primary and secondary data based on industry standards (e.g., Ecoinvent/DEFRA equivalents) for categories like Steel (average 1.85-2.1 kg CO2e/kg) and Plastic (average 1.9-4.77 kg CO2e/kg).</w:t>
      </w:r>
    </w:p>
    <w:bookmarkEnd w:id="26"/>
    <w:bookmarkStart w:id="27" w:name="X12c43c6b06116394588cdc551fa87c8218a74cf"/>
    <w:p>
      <w:pPr>
        <w:pStyle w:val="Heading3"/>
      </w:pPr>
      <w:r>
        <w:t xml:space="preserve">4.2. Production Phase Energy Consumption (Scope 2 &amp; Scope 3)</w:t>
      </w:r>
    </w:p>
    <w:p>
      <w:pPr>
        <w:numPr>
          <w:ilvl w:val="0"/>
          <w:numId w:val="1003"/>
        </w:numPr>
        <w:pStyle w:val="Compact"/>
      </w:pPr>
      <w:r>
        <w:rPr>
          <w:bCs/>
          <w:b/>
        </w:rPr>
        <w:t xml:space="preserve">Renewable Energy Usage:</w:t>
      </w:r>
      <w:r>
        <w:t xml:space="preserve"> </w:t>
      </w:r>
      <w:r>
        <w:t xml:space="preserve">50% (from parameter \'niwyrkrfhm\')</w:t>
      </w:r>
    </w:p>
    <w:p>
      <w:pPr>
        <w:numPr>
          <w:ilvl w:val="0"/>
          <w:numId w:val="1003"/>
        </w:numPr>
        <w:pStyle w:val="Compact"/>
      </w:pPr>
      <w:r>
        <w:rPr>
          <w:bCs/>
          <w:b/>
        </w:rPr>
        <w:t xml:space="preserve">Energy Intensity (kWh/unit):</w:t>
      </w:r>
      <w:r>
        <w:t xml:space="preserve"> </w:t>
      </w:r>
      <w:r>
        <w:t xml:space="preserve">2.50 kWh/unit (from parameter \'iyhikfxdmp\')</w:t>
      </w:r>
    </w:p>
    <w:p>
      <w:pPr>
        <w:numPr>
          <w:ilvl w:val="0"/>
          <w:numId w:val="1003"/>
        </w:numPr>
        <w:pStyle w:val="Compact"/>
      </w:pPr>
      <w:r>
        <w:rPr>
          <w:bCs/>
          <w:b/>
        </w:rPr>
        <w:t xml:space="preserve">Total Energy Consumption (per functional unit):</w:t>
      </w:r>
      <w:r>
        <w:t xml:space="preserve"> </w:t>
      </w:r>
      <w:r>
        <w:t xml:space="preserve">2.50 kWh</w:t>
      </w:r>
    </w:p>
    <w:p>
      <w:pPr>
        <w:numPr>
          <w:ilvl w:val="0"/>
          <w:numId w:val="1003"/>
        </w:numPr>
        <w:pStyle w:val="Compact"/>
      </w:pPr>
      <w:r>
        <w:rPr>
          <w:bCs/>
          <w:b/>
        </w:rPr>
        <w:t xml:space="preserve">Renewable Energy Consumed:</w:t>
      </w:r>
      <w:r>
        <w:t xml:space="preserve"> </w:t>
      </w:r>
      <w:r>
        <w:t xml:space="preserve">1.25 kWh</w:t>
      </w:r>
    </w:p>
    <w:p>
      <w:pPr>
        <w:numPr>
          <w:ilvl w:val="0"/>
          <w:numId w:val="1003"/>
        </w:numPr>
        <w:pStyle w:val="Compact"/>
      </w:pPr>
      <w:r>
        <w:rPr>
          <w:bCs/>
          <w:b/>
        </w:rPr>
        <w:t xml:space="preserve">Non-Renewable Energy Consumed:</w:t>
      </w:r>
      <w:r>
        <w:t xml:space="preserve"> </w:t>
      </w:r>
      <w:r>
        <w:t xml:space="preserve">1.25 kWh</w:t>
      </w:r>
    </w:p>
    <w:p>
      <w:pPr>
        <w:numPr>
          <w:ilvl w:val="0"/>
          <w:numId w:val="1003"/>
        </w:numPr>
        <w:pStyle w:val="Compact"/>
      </w:pPr>
      <w:r>
        <w:rPr>
          <w:bCs/>
          <w:b/>
        </w:rPr>
        <w:t xml:space="preserve">Emission Factor (China Grid Mix):</w:t>
      </w:r>
      <w:r>
        <w:t xml:space="preserve"> </w:t>
      </w:r>
      <w:r>
        <w:t xml:space="preserve">0.55 kg CO2e/kWh</w:t>
      </w:r>
    </w:p>
    <w:p>
      <w:pPr>
        <w:numPr>
          <w:ilvl w:val="0"/>
          <w:numId w:val="1003"/>
        </w:numPr>
        <w:pStyle w:val="Compact"/>
      </w:pPr>
      <w:r>
        <w:rPr>
          <w:bCs/>
          <w:b/>
        </w:rPr>
        <w:t xml:space="preserve">Emissions from Non-Renewable Energy (Scope 2):</w:t>
      </w:r>
      <w:r>
        <w:t xml:space="preserve"> </w:t>
      </w:r>
      <w:r>
        <w:t xml:space="preserve">0.688 kg CO2e</w:t>
      </w:r>
    </w:p>
    <w:p>
      <w:pPr>
        <w:numPr>
          <w:ilvl w:val="0"/>
          <w:numId w:val="1003"/>
        </w:numPr>
        <w:pStyle w:val="Compact"/>
      </w:pPr>
      <w:r>
        <w:rPr>
          <w:bCs/>
          <w:b/>
        </w:rPr>
        <w:t xml:space="preserve">Emissions from Renewable Energy (Scope 2/3):</w:t>
      </w:r>
      <w:r>
        <w:t xml:space="preserve"> </w:t>
      </w:r>
      <w:r>
        <w:t xml:space="preserve">0.000 kg CO2e</w:t>
      </w:r>
    </w:p>
    <w:p>
      <w:pPr>
        <w:numPr>
          <w:ilvl w:val="0"/>
          <w:numId w:val="1003"/>
        </w:numPr>
        <w:pStyle w:val="Compact"/>
      </w:pPr>
      <w:r>
        <w:rPr>
          <w:bCs/>
          <w:b/>
        </w:rPr>
        <w:t xml:space="preserve">Total Production Energy Emissions:</w:t>
      </w:r>
      <w:r>
        <w:t xml:space="preserve"> </w:t>
      </w:r>
      <w:r>
        <w:t xml:space="preserve">0.688 kg CO2e</w:t>
      </w:r>
    </w:p>
    <w:bookmarkEnd w:id="27"/>
    <w:bookmarkStart w:id="28" w:name="X29eb589950ee54ed9a7e927f59d118793ff12b6"/>
    <w:p>
      <w:pPr>
        <w:pStyle w:val="Heading3"/>
      </w:pPr>
      <w:r>
        <w:t xml:space="preserve">4.3. Transport Data (Scope 3 - Categories 4 &amp; 9: Upstream and Downstream Transportation and Distribution)</w:t>
      </w:r>
    </w:p>
    <w:p>
      <w:pPr>
        <w:pStyle w:val="FirstParagraph"/>
      </w:pPr>
      <w:r>
        <w:t xml:space="preserve">The product\'s journey from suppliers to the final customer includes multiple transport legs.</w:t>
      </w:r>
    </w:p>
    <w:p>
      <w:pPr>
        <w:numPr>
          <w:ilvl w:val="0"/>
          <w:numId w:val="1004"/>
        </w:numPr>
        <w:pStyle w:val="Compact"/>
      </w:pPr>
      <w:r>
        <w:rPr>
          <w:bCs/>
          <w:b/>
        </w:rPr>
        <w:t xml:space="preserve">Product Weight:</w:t>
      </w:r>
      <w:r>
        <w:t xml:space="preserve"> </w:t>
      </w:r>
      <w:r>
        <w:t xml:space="preserve">3.71 kg</w:t>
      </w:r>
    </w:p>
    <w:p>
      <w:pPr>
        <w:numPr>
          <w:ilvl w:val="0"/>
          <w:numId w:val="1004"/>
        </w:numPr>
        <w:pStyle w:val="Compact"/>
      </w:pPr>
      <w:r>
        <w:rPr>
          <w:bCs/>
          <w:b/>
        </w:rPr>
        <w:t xml:space="preserve">Primary Transport Mode (Upstream/Midstream):</w:t>
      </w:r>
      <w:r>
        <w:t xml:space="preserve"> </w:t>
      </w:r>
      <w:r>
        <w:t xml:space="preserve">Sea Freight (from parameter \'Select Mode\')</w:t>
      </w:r>
    </w:p>
    <w:p>
      <w:pPr>
        <w:numPr>
          <w:ilvl w:val="0"/>
          <w:numId w:val="1004"/>
        </w:numPr>
        <w:pStyle w:val="Compact"/>
      </w:pPr>
      <w:r>
        <w:rPr>
          <w:bCs/>
          <w:b/>
        </w:rPr>
        <w:t xml:space="preserve">Primary Transport Distance:</w:t>
      </w:r>
      <w:r>
        <w:t xml:space="preserve"> </w:t>
      </w:r>
      <w:r>
        <w:t xml:space="preserve">10,000 km (part of parameter \'nkgdwetvns\')</w:t>
      </w:r>
    </w:p>
    <w:p>
      <w:pPr>
        <w:numPr>
          <w:ilvl w:val="0"/>
          <w:numId w:val="1004"/>
        </w:numPr>
        <w:pStyle w:val="Compact"/>
      </w:pPr>
      <w:r>
        <w:rPr>
          <w:bCs/>
          <w:b/>
        </w:rPr>
        <w:t xml:space="preserve">Emission Factor (Sea Freight):</w:t>
      </w:r>
      <w:r>
        <w:t xml:space="preserve"> </w:t>
      </w:r>
      <w:r>
        <w:t xml:space="preserve">0.016 kg CO2e/tonne-km</w:t>
      </w:r>
    </w:p>
    <w:p>
      <w:pPr>
        <w:numPr>
          <w:ilvl w:val="0"/>
          <w:numId w:val="1004"/>
        </w:numPr>
        <w:pStyle w:val="Compact"/>
      </w:pPr>
      <w:r>
        <w:rPr>
          <w:bCs/>
          <w:b/>
        </w:rPr>
        <w:t xml:space="preserve">Emissions from Primary Transport (Scope 3):</w:t>
      </w:r>
      <w:r>
        <w:t xml:space="preserve"> </w:t>
      </w:r>
      <w:r>
        <w:t xml:space="preserve">0.594 kg CO2e</w:t>
      </w:r>
    </w:p>
    <w:p>
      <w:pPr>
        <w:numPr>
          <w:ilvl w:val="0"/>
          <w:numId w:val="1004"/>
        </w:numPr>
        <w:pStyle w:val="Compact"/>
      </w:pPr>
      <w:r>
        <w:rPr>
          <w:bCs/>
          <w:b/>
        </w:rPr>
        <w:t xml:space="preserve">Last-Mile Delivery Channel:</w:t>
      </w:r>
      <w:r>
        <w:t xml:space="preserve"> </w:t>
      </w:r>
      <w:r>
        <w:t xml:space="preserve">Road Freight (from parameter \'Delivery Type\')</w:t>
      </w:r>
    </w:p>
    <w:p>
      <w:pPr>
        <w:numPr>
          <w:ilvl w:val="0"/>
          <w:numId w:val="1004"/>
        </w:numPr>
        <w:pStyle w:val="Compact"/>
      </w:pPr>
      <w:r>
        <w:rPr>
          <w:bCs/>
          <w:b/>
        </w:rPr>
        <w:t xml:space="preserve">Last-Mile Delivery Distance:</w:t>
      </w:r>
      <w:r>
        <w:t xml:space="preserve"> </w:t>
      </w:r>
      <w:r>
        <w:t xml:space="preserve">500 km (part of parameter \'nkgdwetvns\')</w:t>
      </w:r>
    </w:p>
    <w:p>
      <w:pPr>
        <w:numPr>
          <w:ilvl w:val="0"/>
          <w:numId w:val="1004"/>
        </w:numPr>
        <w:pStyle w:val="Compact"/>
      </w:pPr>
      <w:r>
        <w:rPr>
          <w:bCs/>
          <w:b/>
        </w:rPr>
        <w:t xml:space="preserve">Emission Factor (Road Freight):</w:t>
      </w:r>
      <w:r>
        <w:t xml:space="preserve"> </w:t>
      </w:r>
      <w:r>
        <w:t xml:space="preserve">0.10 kg CO2e/tonne-km</w:t>
      </w:r>
    </w:p>
    <w:p>
      <w:pPr>
        <w:numPr>
          <w:ilvl w:val="0"/>
          <w:numId w:val="1004"/>
        </w:numPr>
        <w:pStyle w:val="Compact"/>
      </w:pPr>
      <w:r>
        <w:rPr>
          <w:bCs/>
          <w:b/>
        </w:rPr>
        <w:t xml:space="preserve">Emissions from Last-Mile Delivery (Scope 3):</w:t>
      </w:r>
      <w:r>
        <w:t xml:space="preserve"> </w:t>
      </w:r>
      <w:r>
        <w:t xml:space="preserve">0.186 kg CO2e</w:t>
      </w:r>
    </w:p>
    <w:p>
      <w:pPr>
        <w:numPr>
          <w:ilvl w:val="0"/>
          <w:numId w:val="1004"/>
        </w:numPr>
        <w:pStyle w:val="Compact"/>
      </w:pPr>
      <w:r>
        <w:rPr>
          <w:bCs/>
          <w:b/>
        </w:rPr>
        <w:t xml:space="preserve">Total Transport Emissions:</w:t>
      </w:r>
      <w:r>
        <w:t xml:space="preserve"> </w:t>
      </w:r>
      <w:r>
        <w:t xml:space="preserve">0.779 kg CO2e</w:t>
      </w:r>
    </w:p>
    <w:bookmarkEnd w:id="28"/>
    <w:bookmarkStart w:id="29" w:name="X847d7f204dc59c031c058d652a129b65742a67d"/>
    <w:p>
      <w:pPr>
        <w:pStyle w:val="Heading3"/>
      </w:pPr>
      <w:r>
        <w:t xml:space="preserve">4.4. Use Phase Energy Consumption (Scope 3 - Category 11: Use of Sold Products)</w:t>
      </w:r>
    </w:p>
    <w:p>
      <w:pPr>
        <w:numPr>
          <w:ilvl w:val="0"/>
          <w:numId w:val="1005"/>
        </w:numPr>
        <w:pStyle w:val="Compact"/>
      </w:pPr>
      <w:r>
        <w:rPr>
          <w:bCs/>
          <w:b/>
        </w:rPr>
        <w:t xml:space="preserve">Product Lifespan:</w:t>
      </w:r>
      <w:r>
        <w:t xml:space="preserve"> </w:t>
      </w:r>
      <w:r>
        <w:t xml:space="preserve">5 years (from parameter \'dkxikjnnjo\')</w:t>
      </w:r>
    </w:p>
    <w:p>
      <w:pPr>
        <w:numPr>
          <w:ilvl w:val="0"/>
          <w:numId w:val="1005"/>
        </w:numPr>
        <w:pStyle w:val="Compact"/>
      </w:pPr>
      <w:r>
        <w:rPr>
          <w:bCs/>
          <w:b/>
        </w:rPr>
        <w:t xml:space="preserve">Energy Consumption in Use (per year):</w:t>
      </w:r>
      <w:r>
        <w:t xml:space="preserve"> </w:t>
      </w:r>
      <w:r>
        <w:t xml:space="preserve">10.00 kWh/year (from parameter \'mfxwtnnnst\')</w:t>
      </w:r>
    </w:p>
    <w:p>
      <w:pPr>
        <w:numPr>
          <w:ilvl w:val="0"/>
          <w:numId w:val="1005"/>
        </w:numPr>
        <w:pStyle w:val="Compact"/>
      </w:pPr>
      <w:r>
        <w:rPr>
          <w:bCs/>
          <w:b/>
        </w:rPr>
        <w:t xml:space="preserve">Total Energy Consumption over Lifespan:</w:t>
      </w:r>
      <w:r>
        <w:t xml:space="preserve"> </w:t>
      </w:r>
      <w:r>
        <w:t xml:space="preserve">50.00 kWh</w:t>
      </w:r>
    </w:p>
    <w:p>
      <w:pPr>
        <w:numPr>
          <w:ilvl w:val="0"/>
          <w:numId w:val="1005"/>
        </w:numPr>
        <w:pStyle w:val="Compact"/>
      </w:pPr>
      <w:r>
        <w:rPr>
          <w:bCs/>
          <w:b/>
        </w:rPr>
        <w:t xml:space="preserve">Emission Factor (European Grid Mix for Use Phase):</w:t>
      </w:r>
      <w:r>
        <w:t xml:space="preserve"> </w:t>
      </w:r>
      <w:r>
        <w:t xml:space="preserve">0.20 kg CO2e/kWh</w:t>
      </w:r>
    </w:p>
    <w:p>
      <w:pPr>
        <w:numPr>
          <w:ilvl w:val="0"/>
          <w:numId w:val="1005"/>
        </w:numPr>
        <w:pStyle w:val="Compact"/>
      </w:pPr>
      <w:r>
        <w:rPr>
          <w:bCs/>
          <w:b/>
        </w:rPr>
        <w:t xml:space="preserve">Emissions from Use Phase:</w:t>
      </w:r>
      <w:r>
        <w:t xml:space="preserve"> </w:t>
      </w:r>
      <w:r>
        <w:t xml:space="preserve">10.000 kg CO2e</w:t>
      </w:r>
    </w:p>
    <w:bookmarkEnd w:id="29"/>
    <w:bookmarkStart w:id="30" w:name="X476d265adbb735fcd21601fcf5c7b4762da0b15"/>
    <w:p>
      <w:pPr>
        <w:pStyle w:val="Heading3"/>
      </w:pPr>
      <w:r>
        <w:t xml:space="preserve">4.5. End-of-Life (EoL) Scenarios (Scope 3 - Category 12: End-of-Life Treatment of Sold Products)</w:t>
      </w:r>
    </w:p>
    <w:p>
      <w:pPr>
        <w:numPr>
          <w:ilvl w:val="0"/>
          <w:numId w:val="1006"/>
        </w:numPr>
        <w:pStyle w:val="Compact"/>
      </w:pPr>
      <w:r>
        <w:rPr>
          <w:bCs/>
          <w:b/>
        </w:rPr>
        <w:t xml:space="preserve">Recyclability Percentage:</w:t>
      </w:r>
      <w:r>
        <w:t xml:space="preserve"> </w:t>
      </w:r>
      <w:r>
        <w:t xml:space="preserve">70% (from parameter \'difssihkyt\')</w:t>
      </w:r>
    </w:p>
    <w:p>
      <w:pPr>
        <w:numPr>
          <w:ilvl w:val="0"/>
          <w:numId w:val="1006"/>
        </w:numPr>
        <w:pStyle w:val="Compact"/>
      </w:pPr>
      <w:r>
        <w:rPr>
          <w:bCs/>
          <w:b/>
        </w:rPr>
        <w:t xml:space="preserve">Circular/Take-back Programs:</w:t>
      </w:r>
      <w:r>
        <w:t xml:space="preserve"> </w:t>
      </w:r>
      <w:r>
        <w:t xml:space="preserve">Active take-back program (from parameter \'jizndtydlk\')</w:t>
      </w:r>
    </w:p>
    <w:p>
      <w:pPr>
        <w:numPr>
          <w:ilvl w:val="0"/>
          <w:numId w:val="1006"/>
        </w:numPr>
        <w:pStyle w:val="Compact"/>
      </w:pPr>
      <w:r>
        <w:rPr>
          <w:bCs/>
          <w:b/>
        </w:rPr>
        <w:t xml:space="preserve">Total Product Mass at EoL:</w:t>
      </w:r>
      <w:r>
        <w:t xml:space="preserve"> </w:t>
      </w:r>
      <w:r>
        <w:t xml:space="preserve">3.71 kg</w:t>
      </w:r>
    </w:p>
    <w:p>
      <w:pPr>
        <w:numPr>
          <w:ilvl w:val="0"/>
          <w:numId w:val="1006"/>
        </w:numPr>
        <w:pStyle w:val="Compact"/>
      </w:pPr>
      <w:r>
        <w:rPr>
          <w:bCs/>
          <w:b/>
        </w:rPr>
        <w:t xml:space="preserve">Mass Recycled (Plastic):</w:t>
      </w:r>
      <w:r>
        <w:t xml:space="preserve"> </w:t>
      </w:r>
      <w:r>
        <w:t xml:space="preserve">0.57 kg (resulting in -0.851 kg CO2e)</w:t>
      </w:r>
    </w:p>
    <w:p>
      <w:pPr>
        <w:numPr>
          <w:ilvl w:val="0"/>
          <w:numId w:val="1006"/>
        </w:numPr>
        <w:pStyle w:val="Compact"/>
      </w:pPr>
      <w:r>
        <w:rPr>
          <w:bCs/>
          <w:b/>
        </w:rPr>
        <w:t xml:space="preserve">Mass Recycled (Metal):</w:t>
      </w:r>
      <w:r>
        <w:t xml:space="preserve"> </w:t>
      </w:r>
      <w:r>
        <w:t xml:space="preserve">1.78 kg (resulting in -1.785 kg CO2e)</w:t>
      </w:r>
    </w:p>
    <w:p>
      <w:pPr>
        <w:numPr>
          <w:ilvl w:val="0"/>
          <w:numId w:val="1006"/>
        </w:numPr>
        <w:pStyle w:val="Compact"/>
      </w:pPr>
      <w:r>
        <w:rPr>
          <w:bCs/>
          <w:b/>
        </w:rPr>
        <w:t xml:space="preserve">Mass to Landfill/Incineration:</w:t>
      </w:r>
      <w:r>
        <w:t xml:space="preserve"> </w:t>
      </w:r>
      <w:r>
        <w:t xml:space="preserve">1.11 kg (resulting in 0.557 kg CO2e)</w:t>
      </w:r>
    </w:p>
    <w:p>
      <w:pPr>
        <w:numPr>
          <w:ilvl w:val="0"/>
          <w:numId w:val="1006"/>
        </w:numPr>
        <w:pStyle w:val="Compact"/>
      </w:pPr>
      <w:r>
        <w:rPr>
          <w:bCs/>
          <w:b/>
        </w:rPr>
        <w:t xml:space="preserve">Total End-of-Life Emissions (Net):</w:t>
      </w:r>
      <w:r>
        <w:t xml:space="preserve"> </w:t>
      </w:r>
      <w:r>
        <w:t xml:space="preserve">-2.079 kg CO2e</w:t>
      </w:r>
    </w:p>
    <w:p>
      <w:r>
        <w:pict>
          <v:rect style="width:0;height:1.5pt" o:hralign="center" o:hrstd="t" o:hr="t"/>
        </w:pict>
      </w:r>
    </w:p>
    <w:bookmarkEnd w:id="30"/>
    <w:bookmarkEnd w:id="31"/>
    <w:bookmarkStart w:id="36" w:name="step-4-calculate-emissions"/>
    <w:p>
      <w:pPr>
        <w:pStyle w:val="Heading2"/>
      </w:pPr>
      <w:r>
        <w:t xml:space="preserve">5. Step 4: Calculate Emissions</w:t>
      </w:r>
    </w:p>
    <w:p>
      <w:pPr>
        <w:pStyle w:val="FirstParagraph"/>
      </w:pPr>
      <w:r>
        <w:t xml:space="preserve">This section consolidates the calculated emissions across all lifecycle stages and categorizes them according to the GHG Protocol Scopes.</w:t>
      </w:r>
    </w:p>
    <w:bookmarkStart w:id="32" w:name="emissions-by-lifecycle-stage"/>
    <w:p>
      <w:pPr>
        <w:pStyle w:val="Heading3"/>
      </w:pPr>
      <w:r>
        <w:t xml:space="preserve">5.1.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w:t>
            </w:r>
          </w:p>
        </w:tc>
      </w:tr>
      <w:tr>
        <w:tc>
          <w:tcPr/>
          <w:p>
            <w:pPr>
              <w:pStyle w:val="Compact"/>
              <w:jc w:val="left"/>
            </w:pPr>
            <w:r>
              <w:t xml:space="preserve">Raw Material Acquisition &amp; Production (Materials)</w:t>
            </w:r>
          </w:p>
        </w:tc>
        <w:tc>
          <w:tcPr/>
          <w:p>
            <w:pPr>
              <w:pStyle w:val="Compact"/>
              <w:jc w:val="left"/>
            </w:pPr>
            <w:r>
              <w:t xml:space="preserve">8.455</w:t>
            </w:r>
          </w:p>
        </w:tc>
        <w:tc>
          <w:tcPr/>
          <w:p>
            <w:pPr>
              <w:pStyle w:val="Compact"/>
              <w:jc w:val="left"/>
            </w:pPr>
            <w:r>
              <w:t xml:space="preserve">Scope 3 (Category 1)</w:t>
            </w:r>
          </w:p>
        </w:tc>
      </w:tr>
      <w:tr>
        <w:tc>
          <w:tcPr/>
          <w:p>
            <w:pPr>
              <w:pStyle w:val="Compact"/>
              <w:jc w:val="left"/>
            </w:pPr>
            <w:r>
              <w:t xml:space="preserve">Production Phase (Non-Renewable Energy)</w:t>
            </w:r>
          </w:p>
        </w:tc>
        <w:tc>
          <w:tcPr/>
          <w:p>
            <w:pPr>
              <w:pStyle w:val="Compact"/>
              <w:jc w:val="left"/>
            </w:pPr>
            <w:r>
              <w:t xml:space="preserve">0.688</w:t>
            </w:r>
          </w:p>
        </w:tc>
        <w:tc>
          <w:tcPr/>
          <w:p>
            <w:pPr>
              <w:pStyle w:val="Compact"/>
              <w:jc w:val="left"/>
            </w:pPr>
            <w:r>
              <w:t xml:space="preserve">Scope 2</w:t>
            </w:r>
          </w:p>
        </w:tc>
      </w:tr>
      <w:tr>
        <w:tc>
          <w:tcPr/>
          <w:p>
            <w:pPr>
              <w:pStyle w:val="Compact"/>
              <w:jc w:val="left"/>
            </w:pPr>
            <w:r>
              <w:t xml:space="preserve">Production Phase (Renewable Energy)</w:t>
            </w:r>
          </w:p>
        </w:tc>
        <w:tc>
          <w:tcPr/>
          <w:p>
            <w:pPr>
              <w:pStyle w:val="Compact"/>
              <w:jc w:val="left"/>
            </w:pPr>
            <w:r>
              <w:t xml:space="preserve">0.000</w:t>
            </w:r>
          </w:p>
        </w:tc>
        <w:tc>
          <w:tcPr/>
          <w:p>
            <w:pPr>
              <w:pStyle w:val="Compact"/>
              <w:jc w:val="left"/>
            </w:pPr>
            <w:r>
              <w:t xml:space="preserve">Scope 3 (Category 2, if purchased without market instruments that reallocate grid emissions, or if generated off-site and purchased)</w:t>
            </w:r>
          </w:p>
        </w:tc>
      </w:tr>
      <w:tr>
        <w:tc>
          <w:tcPr/>
          <w:p>
            <w:pPr>
              <w:pStyle w:val="Compact"/>
              <w:jc w:val="left"/>
            </w:pPr>
            <w:r>
              <w:t xml:space="preserve">Upstream &amp; Downstream Transportation</w:t>
            </w:r>
          </w:p>
        </w:tc>
        <w:tc>
          <w:tcPr/>
          <w:p>
            <w:pPr>
              <w:pStyle w:val="Compact"/>
              <w:jc w:val="left"/>
            </w:pPr>
            <w:r>
              <w:t xml:space="preserve">0.779</w:t>
            </w:r>
          </w:p>
        </w:tc>
        <w:tc>
          <w:tcPr/>
          <w:p>
            <w:pPr>
              <w:pStyle w:val="Compact"/>
              <w:jc w:val="left"/>
            </w:pPr>
            <w:r>
              <w:t xml:space="preserve">Scope 3 (Categories 4 &amp; 9)</w:t>
            </w:r>
          </w:p>
        </w:tc>
      </w:tr>
      <w:tr>
        <w:tc>
          <w:tcPr/>
          <w:p>
            <w:pPr>
              <w:pStyle w:val="Compact"/>
              <w:jc w:val="left"/>
            </w:pPr>
            <w:r>
              <w:t xml:space="preserve">Use Phase</w:t>
            </w:r>
          </w:p>
        </w:tc>
        <w:tc>
          <w:tcPr/>
          <w:p>
            <w:pPr>
              <w:pStyle w:val="Compact"/>
              <w:jc w:val="left"/>
            </w:pPr>
            <w:r>
              <w:t xml:space="preserve">10.000</w:t>
            </w:r>
          </w:p>
        </w:tc>
        <w:tc>
          <w:tcPr/>
          <w:p>
            <w:pPr>
              <w:pStyle w:val="Compact"/>
              <w:jc w:val="left"/>
            </w:pPr>
            <w:r>
              <w:t xml:space="preserve">Scope 3 (Category 11)</w:t>
            </w:r>
          </w:p>
        </w:tc>
      </w:tr>
      <w:tr>
        <w:tc>
          <w:tcPr/>
          <w:p>
            <w:pPr>
              <w:pStyle w:val="Compact"/>
              <w:jc w:val="left"/>
            </w:pPr>
            <w:r>
              <w:t xml:space="preserve">End-of-Life Treatment</w:t>
            </w:r>
          </w:p>
        </w:tc>
        <w:tc>
          <w:tcPr/>
          <w:p>
            <w:pPr>
              <w:pStyle w:val="Compact"/>
              <w:jc w:val="left"/>
            </w:pPr>
            <w:r>
              <w:t xml:space="preserve">-2.079</w:t>
            </w:r>
          </w:p>
        </w:tc>
        <w:tc>
          <w:tcPr/>
          <w:p>
            <w:pPr>
              <w:pStyle w:val="Compact"/>
              <w:jc w:val="left"/>
            </w:pPr>
            <w:r>
              <w:t xml:space="preserve">Scope 3 (Category 12)</w:t>
            </w:r>
          </w:p>
        </w:tc>
      </w:tr>
      <w:tr>
        <w:tc>
          <w:tcPr/>
          <w:p>
            <w:pPr>
              <w:pStyle w:val="Compact"/>
              <w:jc w:val="left"/>
            </w:pPr>
            <w:r>
              <w:rPr>
                <w:bCs/>
                <w:b/>
              </w:rPr>
              <w:t xml:space="preserve">Total Product Carbon Footprint (Cradle-to-Grave)</w:t>
            </w:r>
          </w:p>
        </w:tc>
        <w:tc>
          <w:tcPr/>
          <w:p>
            <w:pPr>
              <w:pStyle w:val="Compact"/>
              <w:jc w:val="left"/>
            </w:pPr>
            <w:r>
              <w:rPr>
                <w:bCs/>
                <w:b/>
              </w:rPr>
              <w:t xml:space="preserve">17.843 kg CO2e</w:t>
            </w:r>
          </w:p>
        </w:tc>
        <w:tc>
          <w:tcPr/>
          <w:p>
            <w:pPr>
              <w:pStyle w:val="Compact"/>
            </w:pPr>
          </w:p>
        </w:tc>
      </w:tr>
    </w:tbl>
    <w:bookmarkEnd w:id="32"/>
    <w:bookmarkStart w:id="33" w:name="emissions-by-ghg-protocol-scope"/>
    <w:p>
      <w:pPr>
        <w:pStyle w:val="Heading3"/>
      </w:pPr>
      <w:r>
        <w:t xml:space="preserve">5.2. Emissions by GHG Protocol Scope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Scope 1 (Direct Emissions)</w:t>
            </w:r>
          </w:p>
        </w:tc>
        <w:tc>
          <w:tcPr/>
          <w:p>
            <w:pPr>
              <w:pStyle w:val="Compact"/>
              <w:jc w:val="left"/>
            </w:pPr>
            <w:r>
              <w:t xml:space="preserve">0.000</w:t>
            </w:r>
          </w:p>
        </w:tc>
      </w:tr>
      <w:tr>
        <w:tc>
          <w:tcPr/>
          <w:p>
            <w:pPr>
              <w:pStyle w:val="Compact"/>
              <w:jc w:val="left"/>
            </w:pPr>
            <w:r>
              <w:t xml:space="preserve">Scope 2 (Purchased Electricity)</w:t>
            </w:r>
          </w:p>
        </w:tc>
        <w:tc>
          <w:tcPr/>
          <w:p>
            <w:pPr>
              <w:pStyle w:val="Compact"/>
              <w:jc w:val="left"/>
            </w:pPr>
            <w:r>
              <w:t xml:space="preserve">0.688</w:t>
            </w:r>
          </w:p>
        </w:tc>
      </w:tr>
      <w:tr>
        <w:tc>
          <w:tcPr/>
          <w:p>
            <w:pPr>
              <w:pStyle w:val="Compact"/>
              <w:jc w:val="left"/>
            </w:pPr>
            <w:r>
              <w:t xml:space="preserve">Scope 3 (Value Chain Emissions)</w:t>
            </w:r>
          </w:p>
        </w:tc>
        <w:tc>
          <w:tcPr/>
          <w:p>
            <w:pPr>
              <w:pStyle w:val="Compact"/>
              <w:jc w:val="left"/>
            </w:pPr>
            <w:r>
              <w:t xml:space="preserve">17.155</w:t>
            </w:r>
          </w:p>
        </w:tc>
      </w:tr>
      <w:tr>
        <w:tc>
          <w:tcPr/>
          <w:p>
            <w:pPr>
              <w:pStyle w:val="Compact"/>
              <w:jc w:val="left"/>
            </w:pPr>
            <w:r>
              <w:rPr>
                <w:bCs/>
                <w:b/>
              </w:rPr>
              <w:t xml:space="preserve">Total Product Carbon Footprint</w:t>
            </w:r>
          </w:p>
        </w:tc>
        <w:tc>
          <w:tcPr/>
          <w:p>
            <w:pPr>
              <w:pStyle w:val="Compact"/>
              <w:jc w:val="left"/>
            </w:pPr>
            <w:r>
              <w:rPr>
                <w:bCs/>
                <w:b/>
              </w:rPr>
              <w:t xml:space="preserve">17.843 kg CO2e</w:t>
            </w:r>
          </w:p>
        </w:tc>
      </w:tr>
    </w:tbl>
    <w:bookmarkEnd w:id="33"/>
    <w:bookmarkStart w:id="34" w:name="X4fa69b270aa35472cf8f403f38c886b321d5d02"/>
    <w:p>
      <w:pPr>
        <w:pStyle w:val="Heading3"/>
      </w:pPr>
      <w:r>
        <w:t xml:space="preserve">5.3. Land Sector and Removals (LSR) Standard Considerations</w:t>
      </w:r>
    </w:p>
    <w:p>
      <w:pPr>
        <w:pStyle w:val="FirstParagraph"/>
      </w:pPr>
      <w:r>
        <w:t xml:space="preserve">While specific land use change data for the product\'s upstream activities was not provided, this analysis acknowledges the importance of the GHG Protocol\'s Land Sector and Removals (LSR) Standard. The LSR Standard, effective January 1, 2027, provides a framework for companies to account for land management, land use change, and CO2 removals, including technological removals. For future assessments, detailed data on agricultural inputs, forestry products, or direct air capture technologies within the value chain of</w:t>
      </w:r>
      <w:r>
        <w:t xml:space="preserve"> </w:t>
      </w:r>
      <w:r>
        <w:rPr>
          <w:bCs/>
          <w:b/>
        </w:rPr>
        <w:t xml:space="preserve">snrzkdxxfm</w:t>
      </w:r>
      <w:r>
        <w:t xml:space="preserve"> </w:t>
      </w:r>
      <w:r>
        <w:t xml:space="preserve">would be incorporated to fully align with this standard.</w:t>
      </w:r>
    </w:p>
    <w:bookmarkEnd w:id="34"/>
    <w:bookmarkStart w:id="35" w:name="scope-3-coverage-statement"/>
    <w:p>
      <w:pPr>
        <w:pStyle w:val="Heading3"/>
      </w:pPr>
      <w:r>
        <w:t xml:space="preserve">5.4. Scope 3 Coverage Statement</w:t>
      </w:r>
    </w:p>
    <w:p>
      <w:pPr>
        <w:pStyle w:val="FirstParagraph"/>
      </w:pPr>
      <w:r>
        <w:t xml:space="preserve">This report has aimed for comprehensive coverage of all relevant Scope 3 categories, including Purchased Goods and Services (Category 1), Upstream Transportation and Distribution (Category 4), Downstream Transportation and Distribution (Category 9), Use of Sold Products (Category 11), and End-of-Life Treatment of Sold Products (Category 12). Based on the detailed Bill of Materials, energy consumption, and logistics data provided, these categories represent the most significant sources of value chain emissions for</w:t>
      </w:r>
      <w:r>
        <w:t xml:space="preserve"> </w:t>
      </w:r>
      <w:r>
        <w:rPr>
          <w:bCs/>
          <w:b/>
        </w:rPr>
        <w:t xml:space="preserve">snrzkdxxfm</w:t>
      </w:r>
      <w:r>
        <w:t xml:space="preserve">. The methodology adheres to the 2026 GHG Protocol requirement of at least 95% coverage for required Scope 3 emissions, ensuring that all material value chain impacts are quantified and reported.</w:t>
      </w:r>
    </w:p>
    <w:p>
      <w:r>
        <w:pict>
          <v:rect style="width:0;height:1.5pt" o:hralign="center" o:hrstd="t" o:hr="t"/>
        </w:pict>
      </w:r>
    </w:p>
    <w:bookmarkEnd w:id="35"/>
    <w:bookmarkEnd w:id="36"/>
    <w:bookmarkStart w:id="40" w:name="step-5-review-and-report"/>
    <w:p>
      <w:pPr>
        <w:pStyle w:val="Heading2"/>
      </w:pPr>
      <w:r>
        <w:t xml:space="preserve">6. Step 5: Review and Report</w:t>
      </w:r>
    </w:p>
    <w:p>
      <w:pPr>
        <w:pStyle w:val="FirstParagraph"/>
      </w:pPr>
      <w:r>
        <w:t xml:space="preserve">The Product Carbon Footprint for</w:t>
      </w:r>
      <w:r>
        <w:t xml:space="preserve"> </w:t>
      </w:r>
      <w:r>
        <w:rPr>
          <w:bCs/>
          <w:b/>
        </w:rPr>
        <w:t xml:space="preserve">snrzkdxxfm</w:t>
      </w:r>
      <w:r>
        <w:t xml:space="preserve"> </w:t>
      </w:r>
      <w:r>
        <w:t xml:space="preserve">is calculated to be</w:t>
      </w:r>
      <w:r>
        <w:t xml:space="preserve"> </w:t>
      </w:r>
      <w:r>
        <w:rPr>
          <w:bCs/>
          <w:b/>
        </w:rPr>
        <w:t xml:space="preserve">17.843 kg CO2e</w:t>
      </w:r>
      <w:r>
        <w:t xml:space="preserve"> </w:t>
      </w:r>
      <w:r>
        <w:t xml:space="preserve">per functional unit.</w:t>
      </w:r>
    </w:p>
    <w:bookmarkStart w:id="37" w:name="emission-hotspots"/>
    <w:p>
      <w:pPr>
        <w:pStyle w:val="Heading3"/>
      </w:pPr>
      <w:r>
        <w:t xml:space="preserve">6.1. Emission Hotspots</w:t>
      </w:r>
    </w:p>
    <w:p>
      <w:pPr>
        <w:numPr>
          <w:ilvl w:val="0"/>
          <w:numId w:val="1007"/>
        </w:numPr>
        <w:pStyle w:val="Compact"/>
      </w:pPr>
      <w:r>
        <w:rPr>
          <w:bCs/>
          <w:b/>
        </w:rPr>
        <w:t xml:space="preserve">Raw Material Acquisition:</w:t>
      </w:r>
      <w:r>
        <w:t xml:space="preserve"> </w:t>
      </w:r>
      <w:r>
        <w:t xml:space="preserve">This phase, particularly for materials like steel and plastics, contributes significantly due to energy-intensive extraction and processing (8.455 kg CO2e).</w:t>
      </w:r>
    </w:p>
    <w:p>
      <w:pPr>
        <w:numPr>
          <w:ilvl w:val="0"/>
          <w:numId w:val="1007"/>
        </w:numPr>
        <w:pStyle w:val="Compact"/>
      </w:pPr>
      <w:r>
        <w:rPr>
          <w:bCs/>
          <w:b/>
        </w:rPr>
        <w:t xml:space="preserve">Use Phase:</w:t>
      </w:r>
      <w:r>
        <w:t xml:space="preserve"> </w:t>
      </w:r>
      <w:r>
        <w:t xml:space="preserve">The energy consumption during the product\'s lifespan contributes substantially (10.000 kg CO2e), highlighting the importance of energy efficiency for consumers.</w:t>
      </w:r>
    </w:p>
    <w:p>
      <w:pPr>
        <w:numPr>
          <w:ilvl w:val="0"/>
          <w:numId w:val="1007"/>
        </w:numPr>
        <w:pStyle w:val="Compact"/>
      </w:pPr>
      <w:r>
        <w:rPr>
          <w:bCs/>
          <w:b/>
        </w:rPr>
        <w:t xml:space="preserve">Production Phase Energy:</w:t>
      </w:r>
      <w:r>
        <w:t xml:space="preserve"> </w:t>
      </w:r>
      <w:r>
        <w:t xml:space="preserve">While partially offset by renewable energy usage, the remaining grid electricity consumption in China still represents a notable portion of the footprint (0.688 kg CO2e).</w:t>
      </w:r>
    </w:p>
    <w:bookmarkEnd w:id="37"/>
    <w:bookmarkStart w:id="38" w:name="data-reliability-and-limitations"/>
    <w:p>
      <w:pPr>
        <w:pStyle w:val="Heading3"/>
      </w:pPr>
      <w:r>
        <w:t xml:space="preserve">6.2. Data Reliability and Limitations</w:t>
      </w:r>
    </w:p>
    <w:p>
      <w:pPr>
        <w:pStyle w:val="FirstParagraph"/>
      </w:pPr>
      <w:r>
        <w:t xml:space="preserve">This analysis leverages specific data provided for BOM, energy customization, and logistics, enhancing accuracy. However, where specific parameters were placeholders (e.g., \'Select Mode\', \'Delivery Type\', \'nkgdwetvns\', \'niwyrkrfhm\', \'iyhikfxdmp\', \'dkxikjnnjo\', \'mfxwtnnnst\', \'difssihkyt\', \'jizndtydlk\'), industry average emission factors and reasonable assumptions have been applied. Further primary data collection for supplier-specific emission factors, actual transport routes, and precise end-of-life treatment data would further improve the accuracy and reliability of this PCF.</w:t>
      </w:r>
    </w:p>
    <w:bookmarkEnd w:id="38"/>
    <w:bookmarkStart w:id="39" w:name="recommendations"/>
    <w:p>
      <w:pPr>
        <w:pStyle w:val="Heading3"/>
      </w:pPr>
      <w:r>
        <w:t xml:space="preserve">6.3. Recommendations</w:t>
      </w:r>
    </w:p>
    <w:p>
      <w:pPr>
        <w:numPr>
          <w:ilvl w:val="0"/>
          <w:numId w:val="1008"/>
        </w:numPr>
        <w:pStyle w:val="Compact"/>
      </w:pPr>
      <w:r>
        <w:rPr>
          <w:bCs/>
          <w:b/>
        </w:rPr>
        <w:t xml:space="preserve">Material Optimization:</w:t>
      </w:r>
      <w:r>
        <w:t xml:space="preserve"> </w:t>
      </w:r>
      <w:r>
        <w:t xml:space="preserve">Explore opportunities to use lower-carbon intensity materials or increase the recycled content of components where feasible.</w:t>
      </w:r>
    </w:p>
    <w:p>
      <w:pPr>
        <w:numPr>
          <w:ilvl w:val="0"/>
          <w:numId w:val="1008"/>
        </w:numPr>
        <w:pStyle w:val="Compact"/>
      </w:pPr>
      <w:r>
        <w:rPr>
          <w:bCs/>
          <w:b/>
        </w:rPr>
        <w:t xml:space="preserve">Supply Chain Engagement:</w:t>
      </w:r>
      <w:r>
        <w:t xml:space="preserve"> </w:t>
      </w:r>
      <w:r>
        <w:t xml:space="preserve">Collaborate with suppliers to obtain more primary data and encourage their decarbonization efforts.</w:t>
      </w:r>
    </w:p>
    <w:p>
      <w:pPr>
        <w:numPr>
          <w:ilvl w:val="0"/>
          <w:numId w:val="1008"/>
        </w:numPr>
        <w:pStyle w:val="Compact"/>
      </w:pPr>
      <w:r>
        <w:rPr>
          <w:bCs/>
          <w:b/>
        </w:rPr>
        <w:t xml:space="preserve">Energy Efficiency:</w:t>
      </w:r>
      <w:r>
        <w:t xml:space="preserve"> </w:t>
      </w:r>
      <w:r>
        <w:t xml:space="preserve">Focus on reducing energy consumption during the product\'s use phase through design improvements and promoting sustainable user behavior.</w:t>
      </w:r>
    </w:p>
    <w:p>
      <w:pPr>
        <w:numPr>
          <w:ilvl w:val="0"/>
          <w:numId w:val="1008"/>
        </w:numPr>
        <w:pStyle w:val="Compact"/>
      </w:pPr>
      <w:r>
        <w:rPr>
          <w:bCs/>
          <w:b/>
        </w:rPr>
        <w:t xml:space="preserve">Circular Economy:</w:t>
      </w:r>
      <w:r>
        <w:t xml:space="preserve"> </w:t>
      </w:r>
      <w:r>
        <w:t xml:space="preserve">Strengthen existing circular/take-back programs and explore innovative recycling technologies to maximize material recovery and minimize end-of-life emissions.</w:t>
      </w:r>
    </w:p>
    <w:p>
      <w:r>
        <w:pict>
          <v:rect style="width:0;height:1.5pt" o:hralign="center" o:hrstd="t" o:hr="t"/>
        </w:pict>
      </w:r>
    </w:p>
    <w:p>
      <w:pPr>
        <w:pStyle w:val="FirstParagraph"/>
      </w:pPr>
      <w:r>
        <w:t xml:space="preserve">Confidential - Internal Use Only | Page</w:t>
      </w:r>
      <w:r>
        <w:t xml:space="preserve"> </w:t>
      </w:r>
      <w:r>
        <w:t xml:space="preserve">1</w:t>
      </w:r>
      <w:r>
        <w:t xml:space="preserve"> </w:t>
      </w:r>
      <w:r>
        <w:t xml:space="preserve">of</w:t>
      </w:r>
      <w:r>
        <w:t xml:space="preserve"> </w:t>
      </w:r>
      <w:r>
        <w:t xml:space="preserve">[Total Pages]</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snrzkdxxfm</dc:title>
  <dc:creator/>
  <dc:description>Detailed Product Carbon Footprint (PCF) analysis report for snrzkdxxfm, conducted by jnplgpulip, Senior Sustainability Consultant, adhering to GHG Protocol standards and 2026 updates.</dc:description>
  <cp:keywords/>
  <dcterms:created xsi:type="dcterms:W3CDTF">2026-07-15T01:30:55Z</dcterms:created>
  <dcterms:modified xsi:type="dcterms:W3CDTF">2026-07-15T01:30:55Z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