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smxhkylokj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smxhkylokj</w:t>
      </w:r>
    </w:p>
    <w:p>
      <w:pPr>
        <w:pStyle w:val="BodyText"/>
      </w:pPr>
      <w:r>
        <w:rPr>
          <w:bCs/>
          <w:b/>
        </w:rPr>
        <w:t xml:space="preserve">Company:</w:t>
      </w:r>
      <w:r>
        <w:t xml:space="preserve"> </w:t>
      </w:r>
      <w:r>
        <w:t xml:space="preserve">qfwqlyeinw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jvmfwtigqe</w:t>
      </w:r>
    </w:p>
    <w:p>
      <w:pPr>
        <w:pStyle w:val="BodyText"/>
      </w:pPr>
      <w:r>
        <w:t xml:space="preserve">This report is generated based on available data and industry standards. While every effort has been made to ensure accuracy,</w:t>
      </w:r>
      <w:r>
        <w:t xml:space="preserve"> </w:t>
      </w:r>
      <w:r>
        <w:t xml:space="preserve">the calculations rely on various assumptions and publicly available emission factors, as detailed within the report.</w:t>
      </w:r>
    </w:p>
    <w:bookmarkEnd w:id="20"/>
    <w:bookmarkStart w:id="45" w:name="X39ba057170cb4d490ab8b0ed6ed046cd1c7426b"/>
    <w:p>
      <w:pPr>
        <w:pStyle w:val="Heading1"/>
      </w:pPr>
      <w:r>
        <w:t xml:space="preserve">Product Carbon Footprint Analysis Report for smxhkylokj</w:t>
      </w:r>
    </w:p>
    <w:p>
      <w:pPr>
        <w:pStyle w:val="FirstParagraph"/>
      </w:pPr>
      <w:r>
        <w:rPr>
          <w:bCs/>
          <w:b/>
        </w:rPr>
        <w:t xml:space="preserve">Generated Date:</w:t>
      </w:r>
      <w:r>
        <w:t xml:space="preserve"> </w:t>
      </w:r>
      <w:r>
        <w:t xml:space="preserve">May 20, 2026</w:t>
      </w:r>
    </w:p>
    <w:p>
      <w:pPr>
        <w:pStyle w:val="BodyText"/>
      </w:pPr>
      <w:r>
        <w:rPr>
          <w:bCs/>
          <w:b/>
        </w:rPr>
        <w:t xml:space="preserve">Company Name:</w:t>
      </w:r>
      <w:r>
        <w:t xml:space="preserve"> </w:t>
      </w:r>
      <w:r>
        <w:t xml:space="preserve">qfwqlyeinw</w:t>
      </w:r>
    </w:p>
    <w:p>
      <w:pPr>
        <w:pStyle w:val="BodyText"/>
      </w:pPr>
      <w:r>
        <w:rPr>
          <w:bCs/>
          <w:b/>
        </w:rPr>
        <w:t xml:space="preserve">Senior Sustainability Consultant:</w:t>
      </w:r>
      <w:r>
        <w:t xml:space="preserve"> </w:t>
      </w:r>
      <w:r>
        <w:t xml:space="preserve">jvmfwtigqe</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\'smxhkylokj\', manufactured by \'qfwqlyeinw\'.</w:t>
      </w:r>
      <w:r>
        <w:t xml:space="preserve"> </w:t>
      </w:r>
      <w:r>
        <w:t xml:space="preserve">The analysis adheres strictly to the GHG Protocol standards, incorporating the latest 2026 Land Sector and Removals (LSR) update</w:t>
      </w:r>
      <w:r>
        <w:t xml:space="preserve"> </w:t>
      </w:r>
      <w:r>
        <w:t xml:space="preserve">and aiming for 95% Scope 3 coverage. The objective is to quantify the greenhouse gas (GHG) emissions associated with the product\'s</w:t>
      </w:r>
      <w:r>
        <w:t xml:space="preserve"> </w:t>
      </w:r>
      <w:r>
        <w:t xml:space="preserve">lifecycle, from raw material extraction to end-of-life, identify emission hotspots, and provide a foundation for sustainability</w:t>
      </w:r>
      <w:r>
        <w:t xml:space="preserve"> </w:t>
      </w:r>
      <w:r>
        <w:t xml:space="preserve">improvement initiatives.</w:t>
      </w:r>
    </w:p>
    <w:p>
      <w:r>
        <w:pict>
          <v:rect style="width:0;height:1.5pt" o:hralign="center" o:hrstd="t" o:hr="t"/>
        </w:pict>
      </w:r>
    </w:p>
    <w:bookmarkEnd w:id="21"/>
    <w:bookmarkStart w:id="25" w:name="methodology"/>
    <w:p>
      <w:pPr>
        <w:pStyle w:val="Heading2"/>
      </w:pPr>
      <w:r>
        <w:t xml:space="preserve">Methodology</w:t>
      </w:r>
    </w:p>
    <w:p>
      <w:pPr>
        <w:pStyle w:val="FirstParagraph"/>
      </w:pPr>
      <w:r>
        <w:t xml:space="preserve">The Product Carbon Footprint (PCF) analysis for \'smxhkylokj\' follows the five-step methodology as prescribed by leading standards: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2" w:name="ghg-protocol-adherence"/>
    <w:p>
      <w:pPr>
        <w:pStyle w:val="Heading3"/>
      </w:pPr>
      <w:r>
        <w:t xml:space="preserve">GHG Protocol Adherence</w:t>
      </w:r>
    </w:p>
    <w:p>
      <w:pPr>
        <w:pStyle w:val="FirstParagraph"/>
      </w:pPr>
      <w:r>
        <w:t xml:space="preserve">Emissions are categorized into the three scopes as defined by the GHG Protocol:</w:t>
      </w:r>
    </w:p>
    <w:p>
      <w:pPr>
        <w:numPr>
          <w:ilvl w:val="0"/>
          <w:numId w:val="1002"/>
        </w:numPr>
        <w:pStyle w:val="Compact"/>
      </w:pPr>
      <w:r>
        <w:rPr>
          <w:bCs/>
          <w:b/>
        </w:rPr>
        <w:t xml:space="preserve">Scope 1 (Direct Emissions):</w:t>
      </w:r>
      <w:r>
        <w:t xml:space="preserve"> </w:t>
      </w:r>
      <w:r>
        <w:t xml:space="preserve">GHG emissions from sources that are owned or controlled by qfwqlyeinw. For this \'factory_gate\' system boundary, direct emissions from on-site manufacturing processes (e.g., combustion in owned boilers) are included here.</w:t>
      </w:r>
    </w:p>
    <w:p>
      <w:pPr>
        <w:numPr>
          <w:ilvl w:val="0"/>
          <w:numId w:val="1002"/>
        </w:numPr>
        <w:pStyle w:val="Compact"/>
      </w:pPr>
      <w:r>
        <w:rPr>
          <w:bCs/>
          <w:b/>
        </w:rPr>
        <w:t xml:space="preserve">Scope 2 (Purchased Energy Emissions):</w:t>
      </w:r>
      <w:r>
        <w:t xml:space="preserve"> </w:t>
      </w:r>
      <w:r>
        <w:t xml:space="preserve">Indirect GHG emissions from the consumption of purchased electricity, heat, or steam used in the manufacturing process at qfwqlyeinw\'s facilities.</w:t>
      </w:r>
    </w:p>
    <w:p>
      <w:pPr>
        <w:numPr>
          <w:ilvl w:val="0"/>
          <w:numId w:val="1002"/>
        </w:numPr>
        <w:pStyle w:val="Compact"/>
      </w:pPr>
      <w:r>
        <w:rPr>
          <w:bCs/>
          <w:b/>
        </w:rPr>
        <w:t xml:space="preserve">Scope 3 (Value Chain Emissions):</w:t>
      </w:r>
      <w:r>
        <w:t xml:space="preserve"> </w:t>
      </w:r>
      <w:r>
        <w:t xml:space="preserve">All other indirect emissions that occur in the value chain of qfwqlyeinw, both upstream (e.g., purchased goods and services, upstream transportation) and downstream (e.g., use of sold products, end-of-life treatment of sold products). This scope is typically the largest contributor for most companies.</w:t>
      </w:r>
    </w:p>
    <w:bookmarkEnd w:id="22"/>
    <w:bookmarkStart w:id="23" w:name="land-sector-and-removals-lsr-update"/>
    <w:p>
      <w:pPr>
        <w:pStyle w:val="Heading3"/>
      </w:pPr>
      <w:r>
        <w:t xml:space="preserve">2026 Land Sector and Removals (LSR) Update</w:t>
      </w:r>
    </w:p>
    <w:p>
      <w:pPr>
        <w:pStyle w:val="FirstParagraph"/>
      </w:pPr>
      <w:r>
        <w:t xml:space="preserve">This report incorporates the principles of the GHG Protocol\'s Land Sector and Removals (LSR) Standard, which became effective on January 1, 2027. The LSR Standard provides accounting requirements and guidance for quantifying, reporting, and tracking land emissions and CO₂ removals. Its accompanying Guidance document is scheduled for publication in Q2 2026, and its tenets have been considered in areas relevant to material sourcing and biogenic carbon flows where applicable, although specific forest carbon accounting is not yet included in this version of the standard.</w:t>
      </w:r>
    </w:p>
    <w:bookmarkEnd w:id="23"/>
    <w:bookmarkStart w:id="24" w:name="scope-3-compliance"/>
    <w:p>
      <w:pPr>
        <w:pStyle w:val="Heading3"/>
      </w:pPr>
      <w:r>
        <w:t xml:space="preserve">Scope 3 Compliance</w:t>
      </w:r>
    </w:p>
    <w:p>
      <w:pPr>
        <w:pStyle w:val="FirstParagraph"/>
      </w:pPr>
      <w:r>
        <w:t xml:space="preserve">In line with the proposed 2026 GHG Protocol revisions, this analysis aims for at least 95% coverage for Scope 3 reporting. This ensures that all major activities attributable to the product\'s value chain, by emission magnitude, are included, allowing for a maximum of 5% exclusion for minor sources to focus resources effectively.</w:t>
      </w:r>
    </w:p>
    <w:p>
      <w:r>
        <w:pict>
          <v:rect style="width:0;height:1.5pt" o:hralign="center" o:hrstd="t" o:hr="t"/>
        </w:pict>
      </w:r>
    </w:p>
    <w:bookmarkEnd w:id="24"/>
    <w:bookmarkEnd w:id="25"/>
    <w:bookmarkStart w:id="31" w:name="define-scope"/>
    <w:p>
      <w:pPr>
        <w:pStyle w:val="Heading2"/>
      </w:pPr>
      <w:r>
        <w:t xml:space="preserve">1. Define Scope</w:t>
      </w:r>
    </w:p>
    <w:bookmarkStart w:id="26"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smxhkylokj</w:t>
      </w:r>
      <w:r>
        <w:t xml:space="preserve">, serving its intended purpose for its specified lifespan.</w:t>
      </w:r>
    </w:p>
    <w:bookmarkEnd w:id="26"/>
    <w:bookmarkStart w:id="27" w:name="system-boundary"/>
    <w:p>
      <w:pPr>
        <w:pStyle w:val="Heading3"/>
      </w:pPr>
      <w:r>
        <w:t xml:space="preserve">System Boundary</w:t>
      </w:r>
    </w:p>
    <w:p>
      <w:pPr>
        <w:pStyle w:val="FirstParagraph"/>
      </w:pPr>
      <w:r>
        <w:t xml:space="preserve">The system boundary for this analysis is defined as</w:t>
      </w:r>
      <w:r>
        <w:t xml:space="preserve"> </w:t>
      </w:r>
      <w:r>
        <w:rPr>
          <w:bCs/>
          <w:b/>
        </w:rPr>
        <w:t xml:space="preserve">factory_gate</w:t>
      </w:r>
      <w:r>
        <w:t xml:space="preserve">. This "Cradle-to-Gate" boundary includes all emissions from raw material acquisition, transport to manufacturing, and manufacturing processes up to the point the product leaves the factory gate. However, for a comprehensive understanding and to meet the 95% Scope 3 coverage, the analysis also extends to cover downstream emissions related to product use and end-of-life treatment.</w:t>
      </w:r>
    </w:p>
    <w:bookmarkEnd w:id="27"/>
    <w:bookmarkStart w:id="28"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pStyle w:val="FirstParagraph"/>
      </w:pPr>
      <w:r>
        <w:t xml:space="preserve">This dual focus means that manufacturing emissions are primarily based on the Chinese energy mix, while upstream material sourcing and transport emissions consider both global and European supply chain contexts.</w:t>
      </w:r>
    </w:p>
    <w:bookmarkEnd w:id="28"/>
    <w:bookmarkStart w:id="29" w:name="accounting-standard"/>
    <w:p>
      <w:pPr>
        <w:pStyle w:val="Heading3"/>
      </w:pPr>
      <w:r>
        <w:t xml:space="preserve">Accounting Standard</w:t>
      </w:r>
    </w:p>
    <w:p>
      <w:pPr>
        <w:pStyle w:val="FirstParagraph"/>
      </w:pPr>
      <w:r>
        <w:t xml:space="preserve">This Product Carbon Footprint analysis is conducted in accordance with the</w:t>
      </w:r>
      <w:r>
        <w:t xml:space="preserve"> </w:t>
      </w:r>
      <w:r>
        <w:rPr>
          <w:bCs/>
          <w:b/>
        </w:rPr>
        <w:t xml:space="preserve">GHG Protocol Product Standard</w:t>
      </w:r>
      <w:r>
        <w:t xml:space="preserve">, specifically focusing on the Corporate Value Chain (Scope 3) Accounting and Reporting Standard as it pertains to the lifecycle of a product.</w:t>
      </w:r>
    </w:p>
    <w:bookmarkEnd w:id="29"/>
    <w:bookmarkStart w:id="30" w:name="allocation"/>
    <w:p>
      <w:pPr>
        <w:pStyle w:val="Heading3"/>
      </w:pPr>
      <w:r>
        <w:t xml:space="preserve">Allocation</w:t>
      </w:r>
    </w:p>
    <w:p>
      <w:pPr>
        <w:pStyle w:val="FirstParagraph"/>
      </w:pPr>
      <w:r>
        <w:t xml:space="preserve">Emissions are allocated directly to the product \'smxhkylokj\' based on mass and energy consumption where direct attribution is possible. For shared processes or infrastructure, allocation is performed using physical relationships (e.g., mass, energy consumption) or economic allocation where physical relationships are not clearly established.</w:t>
      </w:r>
    </w:p>
    <w:p>
      <w:r>
        <w:pict>
          <v:rect style="width:0;height:1.5pt" o:hralign="center" o:hrstd="t" o:hr="t"/>
        </w:pict>
      </w:r>
    </w:p>
    <w:bookmarkEnd w:id="30"/>
    <w:bookmarkEnd w:id="31"/>
    <w:bookmarkStart w:id="37" w:name="map-lifecycle-3.-collect-data"/>
    <w:p>
      <w:pPr>
        <w:pStyle w:val="Heading2"/>
      </w:pPr>
      <w:r>
        <w:t xml:space="preserve">2. Map Lifecycle &amp; 3. Collect Data</w:t>
      </w:r>
    </w:p>
    <w:p>
      <w:pPr>
        <w:pStyle w:val="FirstParagraph"/>
      </w:pPr>
      <w:r>
        <w:t xml:space="preserve">The lifecycle of \'smxhkylokj\' is mapped through key stages, and data is collected for each, drawing upon both primary data (where parameters were provided) and secondary data (industry-average emission factors from databases like Ecoinvent and DEFRA, or other public sources as cited).</w:t>
      </w:r>
    </w:p>
    <w:bookmarkStart w:id="32" w:name="Xe3c4e5fa95d5c2d2725e4970fcaf7d601c8bce1"/>
    <w:p>
      <w:pPr>
        <w:pStyle w:val="Heading3"/>
      </w:pPr>
      <w:r>
        <w:t xml:space="preserve">Detailed Bill of Materials (BOM) - Upstream Emissions (Scope 3, Category 1: Purchased Goods and Services)</w:t>
      </w:r>
    </w:p>
    <w:p>
      <w:pPr>
        <w:pStyle w:val="FirstParagraph"/>
      </w:pPr>
      <w:r>
        <w:t xml:space="preserve">The following Bill of Materials (BOM) provides a high-accuracy basis for calculating the material impact. Emission factors are illustrative, sourced from industry-standard databases like Ecoinvent/DEFRA for a European/Global context, and applied based on the material category and process.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6.70</w:t>
            </w:r>
          </w:p>
        </w:tc>
        <w:tc>
          <w:tcPr/>
          <w:p>
            <w:pPr>
              <w:pStyle w:val="Compact"/>
              <w:jc w:val="left"/>
            </w:pPr>
            <w:r>
              <w:t xml:space="preserve">3.35</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Virgin Polymerization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&amp; 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Semiconductor 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0.50</w:t>
            </w:r>
          </w:p>
        </w:tc>
      </w:tr>
      <w:tr>
        <w:tc>
          <w:tcPr/>
          <w:p>
            <w:pPr>
              <w:pStyle w:val="Compact"/>
              <w:jc w:val="left"/>
            </w:pPr>
            <w:r>
              <w:t xml:space="preserve">M005</w:t>
            </w:r>
          </w:p>
        </w:tc>
        <w:tc>
          <w:tcPr/>
          <w:p>
            <w:pPr>
              <w:pStyle w:val="Compact"/>
              <w:jc w:val="left"/>
            </w:pPr>
            <w:r>
              <w:t xml:space="preserve">Lithium-ion Battery Pack</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12.00</w:t>
            </w:r>
          </w:p>
        </w:tc>
        <w:tc>
          <w:tcPr/>
          <w:p>
            <w:pPr>
              <w:pStyle w:val="Compact"/>
              <w:jc w:val="left"/>
            </w:pPr>
            <w:r>
              <w:t xml:space="preserve">2.40</w:t>
            </w:r>
          </w:p>
        </w:tc>
      </w:tr>
      <w:tr>
        <w:tc>
          <w:tcPr/>
          <w:p>
            <w:pPr>
              <w:pStyle w:val="Compact"/>
              <w:jc w:val="left"/>
            </w:pPr>
            <w:r>
              <w:t xml:space="preserve">M006</w:t>
            </w:r>
          </w:p>
        </w:tc>
        <w:tc>
          <w:tcPr/>
          <w:p>
            <w:pPr>
              <w:pStyle w:val="Compact"/>
              <w:jc w:val="left"/>
            </w:pPr>
            <w:r>
              <w:t xml:space="preserve">Product Packaging</w:t>
            </w:r>
          </w:p>
        </w:tc>
        <w:tc>
          <w:tcPr/>
          <w:p>
            <w:pPr>
              <w:pStyle w:val="Compact"/>
              <w:jc w:val="left"/>
            </w:pPr>
            <w:r>
              <w:t xml:space="preserve">Cardboard</w:t>
            </w:r>
          </w:p>
        </w:tc>
        <w:tc>
          <w:tcPr/>
          <w:p>
            <w:pPr>
              <w:pStyle w:val="Compact"/>
              <w:jc w:val="left"/>
            </w:pPr>
            <w:r>
              <w:t xml:space="preserve">Virgin Pulp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p>
            <w:pPr>
              <w:pStyle w:val="Compact"/>
              <w:jc w:val="left"/>
            </w:pPr>
            <w:r>
              <w:t xml:space="preserve">M007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Paper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0.08</w:t>
            </w:r>
          </w:p>
        </w:tc>
      </w:tr>
      <w:tr>
        <w:tc>
          <w:tcPr>
            <w:gridSpan w:val="7"/>
          </w:tcPr>
          <w:p>
            <w:pPr>
              <w:pStyle w:val="Compact"/>
              <w:jc w:val="right"/>
            </w:pPr>
            <w:r>
              <w:t xml:space="preserve">Subtotal Material Emissions (kg CO2e):</w:t>
            </w:r>
          </w:p>
        </w:tc>
        <w:tc>
          <w:tcPr/>
          <w:p>
            <w:pPr>
              <w:pStyle w:val="Compact"/>
              <w:jc w:val="left"/>
            </w:pPr>
            <w:r>
              <w:t xml:space="preserve">9.08</w:t>
            </w:r>
          </w:p>
        </w:tc>
      </w:tr>
    </w:tbl>
    <w:p>
      <w:pPr>
        <w:pStyle w:val="BodyText"/>
      </w:pPr>
      <w:r>
        <w:rPr>
          <w:iCs/>
          <w:i/>
        </w:rPr>
        <w:t xml:space="preserve">Note: The specific BOM data `ewvlwerv` was a placeholder, so illustrative material types, quantities, and emission factors have been used to demonstrate the calculation based on the specified format. Emission factors are general estimates from Ecoinvent/DEFRA-type data for similar materials in a European/Global context.</w:t>
      </w:r>
    </w:p>
    <w:bookmarkEnd w:id="32"/>
    <w:bookmarkStart w:id="33" w:name="production-phase-energy-inputs-scope-1-2"/>
    <w:p>
      <w:pPr>
        <w:pStyle w:val="Heading3"/>
      </w:pPr>
      <w:r>
        <w:t xml:space="preserve">Production Phase Energy Inputs (Scope 1 &amp; 2)</w:t>
      </w:r>
    </w:p>
    <w:p>
      <w:pPr>
        <w:pStyle w:val="FirstParagraph"/>
      </w:pPr>
      <w:r>
        <w:t xml:space="preserve">Energy consumption during the manufacturing process in China is a significant contributor to the product\'s footprint.</w:t>
      </w:r>
    </w:p>
    <w:p>
      <w:pPr>
        <w:numPr>
          <w:ilvl w:val="0"/>
          <w:numId w:val="1004"/>
        </w:numPr>
        <w:pStyle w:val="Compact"/>
      </w:pPr>
      <w:r>
        <w:rPr>
          <w:bCs/>
          <w:b/>
        </w:rPr>
        <w:t xml:space="preserve">Energy Intensity (kWh/unit):</w:t>
      </w:r>
      <w:r>
        <w:t xml:space="preserve"> </w:t>
      </w:r>
      <w:r>
        <w:t xml:space="preserve">7 kWh/unit</w:t>
      </w:r>
    </w:p>
    <w:p>
      <w:pPr>
        <w:numPr>
          <w:ilvl w:val="0"/>
          <w:numId w:val="1004"/>
        </w:numPr>
        <w:pStyle w:val="Compact"/>
      </w:pPr>
      <w:r>
        <w:rPr>
          <w:bCs/>
          <w:b/>
        </w:rPr>
        <w:t xml:space="preserve">Renewable Energy Usage:</w:t>
      </w:r>
      <w:r>
        <w:t xml:space="preserve"> </w:t>
      </w:r>
      <w:r>
        <w:t xml:space="preserve">60%</w:t>
      </w:r>
    </w:p>
    <w:p>
      <w:pPr>
        <w:numPr>
          <w:ilvl w:val="0"/>
          <w:numId w:val="1004"/>
        </w:numPr>
        <w:pStyle w:val="Compact"/>
      </w:pPr>
      <w:r>
        <w:rPr>
          <w:bCs/>
          <w:b/>
        </w:rPr>
        <w:t xml:space="preserve">Non-Renewable Energy Usage (Grid Mix):</w:t>
      </w:r>
      <w:r>
        <w:t xml:space="preserve"> </w:t>
      </w:r>
      <w:r>
        <w:t xml:space="preserve">40%</w:t>
      </w:r>
    </w:p>
    <w:p>
      <w:pPr>
        <w:numPr>
          <w:ilvl w:val="0"/>
          <w:numId w:val="1004"/>
        </w:numPr>
        <w:pStyle w:val="Compact"/>
      </w:pPr>
      <w:r>
        <w:rPr>
          <w:bCs/>
          <w:b/>
        </w:rPr>
        <w:t xml:space="preserve">China Grid Electricity Emission Factor:</w:t>
      </w:r>
      <w:r>
        <w:t xml:space="preserve"> </w:t>
      </w:r>
      <w:r>
        <w:t xml:space="preserve">0.556 kg CO2e/kWh (Source: Climate Transparency Report 2020 via Climatiq)</w:t>
      </w:r>
    </w:p>
    <w:p>
      <w:pPr>
        <w:numPr>
          <w:ilvl w:val="0"/>
          <w:numId w:val="1004"/>
        </w:numPr>
        <w:pStyle w:val="Compact"/>
      </w:pPr>
      <w:r>
        <w:rPr>
          <w:bCs/>
          <w:b/>
        </w:rPr>
        <w:t xml:space="preserve">Renewable Electricity Emission Factor:</w:t>
      </w:r>
      <w:r>
        <w:t xml:space="preserve"> </w:t>
      </w:r>
      <w:r>
        <w:t xml:space="preserve">0.01 kg CO2e/kWh (Illustrative residual emissions for renewable sources)</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Energy Source</w:t>
            </w:r>
          </w:p>
        </w:tc>
        <w:tc>
          <w:tcPr/>
          <w:p>
            <w:pPr>
              <w:pStyle w:val="Compact"/>
              <w:jc w:val="left"/>
            </w:pPr>
            <w:r>
              <w:t xml:space="preserve">Usage (%)</w:t>
            </w:r>
          </w:p>
        </w:tc>
        <w:tc>
          <w:tcPr/>
          <w:p>
            <w:pPr>
              <w:pStyle w:val="Compact"/>
              <w:jc w:val="left"/>
            </w:pPr>
            <w:r>
              <w:t xml:space="preserve">Energy per unit (kWh)</w:t>
            </w:r>
          </w:p>
        </w:tc>
        <w:tc>
          <w:tcPr/>
          <w:p>
            <w:pPr>
              <w:pStyle w:val="Compact"/>
              <w:jc w:val="left"/>
            </w:pPr>
            <w:r>
              <w:t xml:space="preserve">Emission Factor (kg CO2e/kWh)</w:t>
            </w:r>
          </w:p>
        </w:tc>
        <w:tc>
          <w:tcPr/>
          <w:p>
            <w:pPr>
              <w:pStyle w:val="Compact"/>
              <w:jc w:val="left"/>
            </w:pPr>
            <w:r>
              <w:t xml:space="preserve">Emissions (kg CO2e/unit)</w:t>
            </w:r>
          </w:p>
        </w:tc>
        <w:tc>
          <w:tcPr/>
          <w:p>
            <w:pPr>
              <w:pStyle w:val="Compact"/>
              <w:jc w:val="left"/>
            </w:pPr>
            <w:r>
              <w:t xml:space="preserve">GHG Scope</w:t>
            </w:r>
          </w:p>
        </w:tc>
      </w:tr>
      <w:tr>
        <w:tc>
          <w:tcPr/>
          <w:p>
            <w:pPr>
              <w:pStyle w:val="Compact"/>
              <w:jc w:val="left"/>
            </w:pPr>
            <w:r>
              <w:t xml:space="preserve">Grid Electricity (Non-Renewable)</w:t>
            </w:r>
          </w:p>
        </w:tc>
        <w:tc>
          <w:tcPr/>
          <w:p>
            <w:pPr>
              <w:pStyle w:val="Compact"/>
              <w:jc w:val="left"/>
            </w:pPr>
            <w:r>
              <w:t xml:space="preserve">40%</w:t>
            </w:r>
          </w:p>
        </w:tc>
        <w:tc>
          <w:tcPr/>
          <w:p>
            <w:pPr>
              <w:pStyle w:val="Compact"/>
              <w:jc w:val="left"/>
            </w:pPr>
            <w:r>
              <w:t xml:space="preserve">2.8</w:t>
            </w:r>
          </w:p>
        </w:tc>
        <w:tc>
          <w:tcPr/>
          <w:p>
            <w:pPr>
              <w:pStyle w:val="Compact"/>
              <w:jc w:val="left"/>
            </w:pPr>
            <w:r>
              <w:t xml:space="preserve">0.556</w:t>
            </w:r>
          </w:p>
        </w:tc>
        <w:tc>
          <w:tcPr/>
          <w:p>
            <w:pPr>
              <w:pStyle w:val="Compact"/>
              <w:jc w:val="left"/>
            </w:pPr>
            <w:r>
              <w:t xml:space="preserve">1.5568</w:t>
            </w:r>
          </w:p>
        </w:tc>
        <w:tc>
          <w:tcPr/>
          <w:p>
            <w:pPr>
              <w:pStyle w:val="Compact"/>
              <w:jc w:val="left"/>
            </w:pPr>
            <w:r>
              <w:t xml:space="preserve">Scope 2</w:t>
            </w:r>
          </w:p>
        </w:tc>
      </w:tr>
      <w:tr>
        <w:tc>
          <w:tcPr/>
          <w:p>
            <w:pPr>
              <w:pStyle w:val="Compact"/>
              <w:jc w:val="left"/>
            </w:pPr>
            <w:r>
              <w:t xml:space="preserve">Renewable Electricity</w:t>
            </w:r>
          </w:p>
        </w:tc>
        <w:tc>
          <w:tcPr/>
          <w:p>
            <w:pPr>
              <w:pStyle w:val="Compact"/>
              <w:jc w:val="left"/>
            </w:pPr>
            <w:r>
              <w:t xml:space="preserve">60%</w:t>
            </w:r>
          </w:p>
        </w:tc>
        <w:tc>
          <w:tcPr/>
          <w:p>
            <w:pPr>
              <w:pStyle w:val="Compact"/>
              <w:jc w:val="left"/>
            </w:pPr>
            <w:r>
              <w:t xml:space="preserve">4.2</w:t>
            </w:r>
          </w:p>
        </w:tc>
        <w:tc>
          <w:tcPr/>
          <w:p>
            <w:pPr>
              <w:pStyle w:val="Compact"/>
              <w:jc w:val="left"/>
            </w:pPr>
            <w:r>
              <w:t xml:space="preserve">0.010</w:t>
            </w:r>
          </w:p>
        </w:tc>
        <w:tc>
          <w:tcPr/>
          <w:p>
            <w:pPr>
              <w:pStyle w:val="Compact"/>
              <w:jc w:val="left"/>
            </w:pPr>
            <w:r>
              <w:t xml:space="preserve">0.0420</w:t>
            </w:r>
          </w:p>
        </w:tc>
        <w:tc>
          <w:tcPr/>
          <w:p>
            <w:pPr>
              <w:pStyle w:val="Compact"/>
              <w:jc w:val="left"/>
            </w:pPr>
            <w:r>
              <w:t xml:space="preserve">Scope 2</w:t>
            </w:r>
          </w:p>
        </w:tc>
      </w:tr>
      <w:tr>
        <w:tc>
          <w:tcPr>
            <w:gridSpan w:val="4"/>
          </w:tcPr>
          <w:p>
            <w:pPr>
              <w:pStyle w:val="Compact"/>
              <w:jc w:val="right"/>
            </w:pPr>
            <w:r>
              <w:t xml:space="preserve">Subtotal Production Energy Emissions (kg CO2e/unit):</w:t>
            </w:r>
          </w:p>
        </w:tc>
        <w:tc>
          <w:tcPr/>
          <w:p>
            <w:pPr>
              <w:pStyle w:val="Compact"/>
              <w:jc w:val="left"/>
            </w:pPr>
            <w:r>
              <w:t xml:space="preserve">1.5988</w:t>
            </w:r>
          </w:p>
        </w:tc>
        <w:tc>
          <w:tcPr/>
          <w:p>
            <w:pPr>
              <w:pStyle w:val="Compact"/>
            </w:pPr>
          </w:p>
        </w:tc>
      </w:tr>
    </w:tbl>
    <w:bookmarkEnd w:id="33"/>
    <w:bookmarkStart w:id="34" w:name="X188739c1e9f1d4afb597c8ef872c7cb4ecc41f3"/>
    <w:p>
      <w:pPr>
        <w:pStyle w:val="Heading3"/>
      </w:pPr>
      <w:r>
        <w:t xml:space="preserve">Logistics Data - Upstream Transport (Scope 3, Category 4: Upstream Transportation and Distribution)</w:t>
      </w:r>
    </w:p>
    <w:p>
      <w:pPr>
        <w:pStyle w:val="FirstParagraph"/>
      </w:pPr>
      <w:r>
        <w:t xml:space="preserve">Transportation of materials to the manufacturing facility and initial distribution from the factory gate are included. Given a "Europe Focused" supply chain, we assume the transport occurs over a significant distance.</w:t>
      </w:r>
    </w:p>
    <w:p>
      <w:pPr>
        <w:numPr>
          <w:ilvl w:val="0"/>
          <w:numId w:val="1005"/>
        </w:numPr>
        <w:pStyle w:val="Compact"/>
      </w:pPr>
      <w:r>
        <w:rPr>
          <w:bCs/>
          <w:b/>
        </w:rPr>
        <w:t xml:space="preserve">Transport Mode:</w:t>
      </w:r>
      <w:r>
        <w:t xml:space="preserve"> </w:t>
      </w:r>
      <w:r>
        <w:t xml:space="preserve">Heavy Goods Vehicle (HGV)</w:t>
      </w:r>
    </w:p>
    <w:p>
      <w:pPr>
        <w:numPr>
          <w:ilvl w:val="0"/>
          <w:numId w:val="1005"/>
        </w:numPr>
        <w:pStyle w:val="Compact"/>
      </w:pPr>
      <w:r>
        <w:rPr>
          <w:bCs/>
          <w:b/>
        </w:rPr>
        <w:t xml:space="preserve">Transport Distance:</w:t>
      </w:r>
      <w:r>
        <w:t xml:space="preserve"> </w:t>
      </w:r>
      <w:r>
        <w:t xml:space="preserve">2,500 km (Illustrative, representing a long-haul journey)</w:t>
      </w:r>
    </w:p>
    <w:p>
      <w:pPr>
        <w:numPr>
          <w:ilvl w:val="0"/>
          <w:numId w:val="1005"/>
        </w:numPr>
        <w:pStyle w:val="Compact"/>
      </w:pPr>
      <w:r>
        <w:rPr>
          <w:bCs/>
          <w:b/>
        </w:rPr>
        <w:t xml:space="preserve">Product Weight:</w:t>
      </w:r>
      <w:r>
        <w:t xml:space="preserve"> </w:t>
      </w:r>
      <w:r>
        <w:t xml:space="preserve">~1.46 kg (Sum of BOM item quantities)</w:t>
      </w:r>
    </w:p>
    <w:p>
      <w:pPr>
        <w:numPr>
          <w:ilvl w:val="0"/>
          <w:numId w:val="1005"/>
        </w:numPr>
        <w:pStyle w:val="Compact"/>
      </w:pPr>
      <w:r>
        <w:rPr>
          <w:bCs/>
          <w:b/>
        </w:rPr>
        <w:t xml:space="preserve">HGV Emission Factor (Europe):</w:t>
      </w:r>
      <w:r>
        <w:t xml:space="preserve"> </w:t>
      </w:r>
      <w:r>
        <w:t xml:space="preserve">0.1 kg CO2e/tonne-km (Illustrative, based on GLEC framework for HGV &gt;20t)</w:t>
      </w:r>
    </w:p>
    <w:p>
      <w:pPr>
        <w:numPr>
          <w:ilvl w:val="0"/>
          <w:numId w:val="1005"/>
        </w:numPr>
        <w:pStyle w:val="Compact"/>
      </w:pPr>
      <w:r>
        <w:rPr>
          <w:bCs/>
          <w:b/>
        </w:rPr>
        <w:t xml:space="preserve">Last-Mile Delivery Channel:</w:t>
      </w:r>
      <w:r>
        <w:t xml:space="preserve"> </w:t>
      </w:r>
      <w:r>
        <w:t xml:space="preserve">Parcel Delivery Van</w:t>
      </w:r>
    </w:p>
    <w:p>
      <w:pPr>
        <w:numPr>
          <w:ilvl w:val="0"/>
          <w:numId w:val="1005"/>
        </w:numPr>
        <w:pStyle w:val="Compact"/>
      </w:pPr>
      <w:r>
        <w:rPr>
          <w:bCs/>
          <w:b/>
        </w:rPr>
        <w:t xml:space="preserve">Last-Mile Emission Factor (Per package):</w:t>
      </w:r>
      <w:r>
        <w:t xml:space="preserve"> </w:t>
      </w:r>
      <w:r>
        <w:t xml:space="preserve">0.25 kg CO2e/package (Illustrative, based on parcel delivery estimates)</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Weight (tonne)</w:t>
            </w:r>
          </w:p>
        </w:tc>
        <w:tc>
          <w:tcPr/>
          <w:p>
            <w:pPr>
              <w:pStyle w:val="Compact"/>
              <w:jc w:val="left"/>
            </w:pPr>
            <w:r>
              <w:t xml:space="preserve">Emission Factor (kg CO2e/tonne-km or kg CO2e/package)</w:t>
            </w:r>
          </w:p>
        </w:tc>
        <w:tc>
          <w:tcPr/>
          <w:p>
            <w:pPr>
              <w:pStyle w:val="Compact"/>
              <w:jc w:val="left"/>
            </w:pPr>
            <w:r>
              <w:t xml:space="preserve">Emissions (kg CO2e)</w:t>
            </w:r>
          </w:p>
        </w:tc>
      </w:tr>
      <w:tr>
        <w:tc>
          <w:tcPr/>
          <w:p>
            <w:pPr>
              <w:pStyle w:val="Compact"/>
              <w:jc w:val="left"/>
            </w:pPr>
            <w:r>
              <w:t xml:space="preserve">Primary Transport to Factory</w:t>
            </w:r>
          </w:p>
        </w:tc>
        <w:tc>
          <w:tcPr/>
          <w:p>
            <w:pPr>
              <w:pStyle w:val="Compact"/>
              <w:jc w:val="left"/>
            </w:pPr>
            <w:r>
              <w:t xml:space="preserve">HGV</w:t>
            </w:r>
          </w:p>
        </w:tc>
        <w:tc>
          <w:tcPr/>
          <w:p>
            <w:pPr>
              <w:pStyle w:val="Compact"/>
              <w:jc w:val="left"/>
            </w:pPr>
            <w:r>
              <w:t xml:space="preserve">2500</w:t>
            </w:r>
          </w:p>
        </w:tc>
        <w:tc>
          <w:tcPr/>
          <w:p>
            <w:pPr>
              <w:pStyle w:val="Compact"/>
              <w:jc w:val="left"/>
            </w:pPr>
            <w:r>
              <w:t xml:space="preserve">0.00146</w:t>
            </w:r>
          </w:p>
        </w:tc>
        <w:tc>
          <w:tcPr/>
          <w:p>
            <w:pPr>
              <w:pStyle w:val="Compact"/>
              <w:jc w:val="left"/>
            </w:pPr>
            <w:r>
              <w:t xml:space="preserve">0.1 (per tonne-km)</w:t>
            </w:r>
          </w:p>
        </w:tc>
        <w:tc>
          <w:tcPr/>
          <w:p>
            <w:pPr>
              <w:pStyle w:val="Compact"/>
              <w:jc w:val="left"/>
            </w:pPr>
            <w:r>
              <w:t xml:space="preserve">0.365</w:t>
            </w:r>
          </w:p>
        </w:tc>
      </w:tr>
      <w:tr>
        <w:tc>
          <w:tcPr/>
          <w:p>
            <w:pPr>
              <w:pStyle w:val="Compact"/>
              <w:jc w:val="left"/>
            </w:pPr>
            <w:r>
              <w:t xml:space="preserve">Last-Mile Delivery</w:t>
            </w:r>
          </w:p>
        </w:tc>
        <w:tc>
          <w:tcPr/>
          <w:p>
            <w:pPr>
              <w:pStyle w:val="Compact"/>
              <w:jc w:val="left"/>
            </w:pPr>
            <w:r>
              <w:t xml:space="preserve">Parcel Delivery Van</w:t>
            </w:r>
          </w:p>
        </w:tc>
        <w:tc>
          <w:tcPr/>
          <w:p>
            <w:pPr>
              <w:pStyle w:val="Compact"/>
              <w:jc w:val="left"/>
            </w:pPr>
            <w:r>
              <w:t xml:space="preserve">N/A (per package)</w:t>
            </w:r>
          </w:p>
        </w:tc>
        <w:tc>
          <w:tcPr/>
          <w:p>
            <w:pPr>
              <w:pStyle w:val="Compact"/>
              <w:jc w:val="left"/>
            </w:pPr>
            <w:r>
              <w:t xml:space="preserve">N/A</w:t>
            </w:r>
          </w:p>
        </w:tc>
        <w:tc>
          <w:tcPr/>
          <w:p>
            <w:pPr>
              <w:pStyle w:val="Compact"/>
              <w:jc w:val="left"/>
            </w:pPr>
            <w:r>
              <w:t xml:space="preserve">0.25 (per package)</w:t>
            </w:r>
          </w:p>
        </w:tc>
        <w:tc>
          <w:tcPr/>
          <w:p>
            <w:pPr>
              <w:pStyle w:val="Compact"/>
              <w:jc w:val="left"/>
            </w:pPr>
            <w:r>
              <w:t xml:space="preserve">0.25</w:t>
            </w:r>
          </w:p>
        </w:tc>
      </w:tr>
      <w:tr>
        <w:tc>
          <w:tcPr>
            <w:gridSpan w:val="5"/>
          </w:tcPr>
          <w:p>
            <w:pPr>
              <w:pStyle w:val="Compact"/>
              <w:jc w:val="right"/>
            </w:pPr>
            <w:r>
              <w:t xml:space="preserve">Subtotal Transport Emissions (kg CO2e/unit):</w:t>
            </w:r>
          </w:p>
        </w:tc>
        <w:tc>
          <w:tcPr/>
          <w:p>
            <w:pPr>
              <w:pStyle w:val="Compact"/>
              <w:jc w:val="left"/>
            </w:pPr>
            <w:r>
              <w:t xml:space="preserve">0.615</w:t>
            </w:r>
          </w:p>
        </w:tc>
      </w:tr>
    </w:tbl>
    <w:bookmarkEnd w:id="34"/>
    <w:bookmarkStart w:id="35" w:name="X9c47a088dc2010630d22d37d8f68ea322772e33"/>
    <w:p>
      <w:pPr>
        <w:pStyle w:val="Heading3"/>
      </w:pPr>
      <w:r>
        <w:t xml:space="preserve">Use Phase Data (Scope 3, Category 11: Use of Sold Products)</w:t>
      </w:r>
    </w:p>
    <w:p>
      <w:pPr>
        <w:pStyle w:val="FirstParagraph"/>
      </w:pPr>
      <w:r>
        <w:t xml:space="preserve">The energy consumption during the product\'s operational lifetime is calculated.</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15 kWh/year</w:t>
      </w:r>
    </w:p>
    <w:p>
      <w:pPr>
        <w:numPr>
          <w:ilvl w:val="0"/>
          <w:numId w:val="1006"/>
        </w:numPr>
        <w:pStyle w:val="Compact"/>
      </w:pPr>
      <w:r>
        <w:rPr>
          <w:bCs/>
          <w:b/>
        </w:rPr>
        <w:t xml:space="preserve">Assumed User Electricity Mix:</w:t>
      </w:r>
      <w:r>
        <w:t xml:space="preserve"> </w:t>
      </w:r>
      <w:r>
        <w:t xml:space="preserve">European Grid Mix (Illustrative, e.g., 0.25 kg CO2e/kWh for a general European mix)</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Product Lifespan</w:t>
            </w:r>
          </w:p>
        </w:tc>
        <w:tc>
          <w:tcPr/>
          <w:p>
            <w:pPr>
              <w:pStyle w:val="Compact"/>
              <w:jc w:val="left"/>
            </w:pPr>
            <w:r>
              <w:t xml:space="preserve">5</w:t>
            </w:r>
          </w:p>
        </w:tc>
        <w:tc>
          <w:tcPr/>
          <w:p>
            <w:pPr>
              <w:pStyle w:val="Compact"/>
              <w:jc w:val="left"/>
            </w:pPr>
            <w:r>
              <w:t xml:space="preserve">years</w:t>
            </w:r>
          </w:p>
        </w:tc>
      </w:tr>
      <w:tr>
        <w:tc>
          <w:tcPr/>
          <w:p>
            <w:pPr>
              <w:pStyle w:val="Compact"/>
              <w:jc w:val="left"/>
            </w:pPr>
            <w:r>
              <w:t xml:space="preserve">Annual Energy Consumption</w:t>
            </w:r>
          </w:p>
        </w:tc>
        <w:tc>
          <w:tcPr/>
          <w:p>
            <w:pPr>
              <w:pStyle w:val="Compact"/>
              <w:jc w:val="left"/>
            </w:pPr>
            <w:r>
              <w:t xml:space="preserve">15</w:t>
            </w:r>
          </w:p>
        </w:tc>
        <w:tc>
          <w:tcPr/>
          <w:p>
            <w:pPr>
              <w:pStyle w:val="Compact"/>
              <w:jc w:val="left"/>
            </w:pPr>
            <w:r>
              <w:t xml:space="preserve">kWh/year</w:t>
            </w:r>
          </w:p>
        </w:tc>
      </w:tr>
      <w:tr>
        <w:tc>
          <w:tcPr/>
          <w:p>
            <w:pPr>
              <w:pStyle w:val="Compact"/>
              <w:jc w:val="left"/>
            </w:pPr>
            <w:r>
              <w:t xml:space="preserve">Total Energy Consumption in Use</w:t>
            </w:r>
          </w:p>
        </w:tc>
        <w:tc>
          <w:tcPr/>
          <w:p>
            <w:pPr>
              <w:pStyle w:val="Compact"/>
              <w:jc w:val="left"/>
            </w:pPr>
            <w:r>
              <w:t xml:space="preserve">75</w:t>
            </w:r>
          </w:p>
        </w:tc>
        <w:tc>
          <w:tcPr/>
          <w:p>
            <w:pPr>
              <w:pStyle w:val="Compact"/>
              <w:jc w:val="left"/>
            </w:pPr>
            <w:r>
              <w:t xml:space="preserve">kWh</w:t>
            </w:r>
          </w:p>
        </w:tc>
      </w:tr>
      <w:tr>
        <w:tc>
          <w:tcPr/>
          <w:p>
            <w:pPr>
              <w:pStyle w:val="Compact"/>
              <w:jc w:val="left"/>
            </w:pPr>
            <w:r>
              <w:t xml:space="preserve">User Electricity Emission Factor</w:t>
            </w:r>
          </w:p>
        </w:tc>
        <w:tc>
          <w:tcPr/>
          <w:p>
            <w:pPr>
              <w:pStyle w:val="Compact"/>
              <w:jc w:val="left"/>
            </w:pPr>
            <w:r>
              <w:t xml:space="preserve">0.25</w:t>
            </w:r>
          </w:p>
        </w:tc>
        <w:tc>
          <w:tcPr/>
          <w:p>
            <w:pPr>
              <w:pStyle w:val="Compact"/>
              <w:jc w:val="left"/>
            </w:pPr>
            <w:r>
              <w:t xml:space="preserve">kg CO2e/kWh</w:t>
            </w:r>
          </w:p>
        </w:tc>
      </w:tr>
      <w:tr>
        <w:tc>
          <w:tcPr>
            <w:gridSpan w:val="2"/>
          </w:tcPr>
          <w:p>
            <w:pPr>
              <w:pStyle w:val="Compact"/>
              <w:jc w:val="right"/>
            </w:pPr>
            <w:r>
              <w:t xml:space="preserve">Subtotal Use Phase Emissions (kg CO2e/unit):</w:t>
            </w:r>
          </w:p>
        </w:tc>
        <w:tc>
          <w:tcPr/>
          <w:p>
            <w:pPr>
              <w:pStyle w:val="Compact"/>
              <w:jc w:val="left"/>
            </w:pPr>
            <w:r>
              <w:t xml:space="preserve">18.75</w:t>
            </w:r>
          </w:p>
        </w:tc>
      </w:tr>
    </w:tbl>
    <w:bookmarkEnd w:id="35"/>
    <w:bookmarkStart w:id="36" w:name="X2ad5f856e11b183ac001e07eeb80069f045ee6a"/>
    <w:p>
      <w:pPr>
        <w:pStyle w:val="Heading3"/>
      </w:pPr>
      <w:r>
        <w:t xml:space="preserve">End-of-Life (EoL) Data (Scope 3, Category 12: End-of-Life Treatment of Sold Products)</w:t>
      </w:r>
    </w:p>
    <w:p>
      <w:pPr>
        <w:pStyle w:val="FirstParagraph"/>
      </w:pPr>
      <w:r>
        <w:t xml:space="preserve">The end-of-life scenario considers the recyclability and any circular programs in place.</w:t>
      </w:r>
    </w:p>
    <w:p>
      <w:pPr>
        <w:numPr>
          <w:ilvl w:val="0"/>
          <w:numId w:val="1007"/>
        </w:numPr>
        <w:pStyle w:val="Compact"/>
      </w:pPr>
      <w:r>
        <w:rPr>
          <w:bCs/>
          <w:b/>
        </w:rPr>
        <w:t xml:space="preserve">Recyclability Percentage:</w:t>
      </w:r>
      <w:r>
        <w:t xml:space="preserve"> </w:t>
      </w:r>
      <w:r>
        <w:t xml:space="preserve">80%</w:t>
      </w:r>
    </w:p>
    <w:p>
      <w:pPr>
        <w:numPr>
          <w:ilvl w:val="0"/>
          <w:numId w:val="1007"/>
        </w:numPr>
        <w:pStyle w:val="Compact"/>
      </w:pPr>
      <w:r>
        <w:rPr>
          <w:bCs/>
          <w:b/>
        </w:rPr>
        <w:t xml:space="preserve">Non-Recyclable Waste:</w:t>
      </w:r>
      <w:r>
        <w:t xml:space="preserve"> </w:t>
      </w:r>
      <w:r>
        <w:t xml:space="preserve">20%</w:t>
      </w:r>
    </w:p>
    <w:p>
      <w:pPr>
        <w:numPr>
          <w:ilvl w:val="0"/>
          <w:numId w:val="1007"/>
        </w:numPr>
        <w:pStyle w:val="Compact"/>
      </w:pPr>
      <w:r>
        <w:rPr>
          <w:bCs/>
          <w:b/>
        </w:rPr>
        <w:t xml:space="preserve">Circular/Take-back Programs:</w:t>
      </w:r>
      <w:r>
        <w:t xml:space="preserve"> </w:t>
      </w:r>
      <w:r>
        <w:t xml:space="preserve">Yes, formalized take-back scheme</w:t>
      </w:r>
    </w:p>
    <w:p>
      <w:pPr>
        <w:numPr>
          <w:ilvl w:val="0"/>
          <w:numId w:val="1007"/>
        </w:numPr>
        <w:pStyle w:val="Compact"/>
      </w:pPr>
      <w:r>
        <w:rPr>
          <w:bCs/>
          <w:b/>
        </w:rPr>
        <w:t xml:space="preserve">Product Weight at EoL:</w:t>
      </w:r>
      <w:r>
        <w:t xml:space="preserve"> </w:t>
      </w:r>
      <w:r>
        <w:t xml:space="preserve">~1.46 kg (assuming minimal material loss during use)</w:t>
      </w:r>
    </w:p>
    <w:p>
      <w:pPr>
        <w:numPr>
          <w:ilvl w:val="0"/>
          <w:numId w:val="1007"/>
        </w:numPr>
        <w:pStyle w:val="Compact"/>
      </w:pPr>
      <w:r>
        <w:rPr>
          <w:bCs/>
          <w:b/>
        </w:rPr>
        <w:t xml:space="preserve">Emissions from Recycling:</w:t>
      </w:r>
      <w:r>
        <w:t xml:space="preserve"> </w:t>
      </w:r>
      <w:r>
        <w:t xml:space="preserve">0.1 kg CO2e/kg (Illustrative, energy for sorting/processing, offsetting virgin material impact)</w:t>
      </w:r>
    </w:p>
    <w:p>
      <w:pPr>
        <w:numPr>
          <w:ilvl w:val="0"/>
          <w:numId w:val="1007"/>
        </w:numPr>
        <w:pStyle w:val="Compact"/>
      </w:pPr>
      <w:r>
        <w:rPr>
          <w:bCs/>
          <w:b/>
        </w:rPr>
        <w:t xml:space="preserve">Emissions from Landfill/Incineration:</w:t>
      </w:r>
      <w:r>
        <w:t xml:space="preserve"> </w:t>
      </w:r>
      <w:r>
        <w:t xml:space="preserve">0.2 kg CO2e/kg (Illustrative, for mixed residual waste disposal)</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EoL Scenario</w:t>
            </w:r>
          </w:p>
        </w:tc>
        <w:tc>
          <w:tcPr/>
          <w:p>
            <w:pPr>
              <w:pStyle w:val="Compact"/>
              <w:jc w:val="left"/>
            </w:pPr>
            <w:r>
              <w:t xml:space="preserve">Percentage</w:t>
            </w:r>
          </w:p>
        </w:tc>
        <w:tc>
          <w:tcPr/>
          <w:p>
            <w:pPr>
              <w:pStyle w:val="Compact"/>
              <w:jc w:val="left"/>
            </w:pPr>
            <w:r>
              <w:t xml:space="preserve">Weight (kg)</w:t>
            </w:r>
          </w:p>
        </w:tc>
        <w:tc>
          <w:tcPr/>
          <w:p>
            <w:pPr>
              <w:pStyle w:val="Compact"/>
              <w:jc w:val="left"/>
            </w:pPr>
            <w:r>
              <w:t xml:space="preserve">Emission Factor (kg CO2e/kg)</w:t>
            </w:r>
          </w:p>
        </w:tc>
        <w:tc>
          <w:tcPr/>
          <w:p>
            <w:pPr>
              <w:pStyle w:val="Compact"/>
              <w:jc w:val="left"/>
            </w:pPr>
            <w:r>
              <w:t xml:space="preserve">Emissions (kg CO2e)</w:t>
            </w:r>
          </w:p>
        </w:tc>
      </w:tr>
      <w:tr>
        <w:tc>
          <w:tcPr/>
          <w:p>
            <w:pPr>
              <w:pStyle w:val="Compact"/>
              <w:jc w:val="left"/>
            </w:pPr>
            <w:r>
              <w:t xml:space="preserve">Recycled Materials</w:t>
            </w:r>
          </w:p>
        </w:tc>
        <w:tc>
          <w:tcPr/>
          <w:p>
            <w:pPr>
              <w:pStyle w:val="Compact"/>
              <w:jc w:val="left"/>
            </w:pPr>
            <w:r>
              <w:t xml:space="preserve">80%</w:t>
            </w:r>
          </w:p>
        </w:tc>
        <w:tc>
          <w:tcPr/>
          <w:p>
            <w:pPr>
              <w:pStyle w:val="Compact"/>
              <w:jc w:val="left"/>
            </w:pPr>
            <w:r>
              <w:t xml:space="preserve">1.168</w:t>
            </w:r>
          </w:p>
        </w:tc>
        <w:tc>
          <w:tcPr/>
          <w:p>
            <w:pPr>
              <w:pStyle w:val="Compact"/>
              <w:jc w:val="left"/>
            </w:pPr>
            <w:r>
              <w:t xml:space="preserve">0.1</w:t>
            </w:r>
          </w:p>
        </w:tc>
        <w:tc>
          <w:tcPr/>
          <w:p>
            <w:pPr>
              <w:pStyle w:val="Compact"/>
              <w:jc w:val="left"/>
            </w:pPr>
            <w:r>
              <w:t xml:space="preserve">0.1168</w:t>
            </w:r>
          </w:p>
        </w:tc>
      </w:tr>
      <w:tr>
        <w:tc>
          <w:tcPr/>
          <w:p>
            <w:pPr>
              <w:pStyle w:val="Compact"/>
              <w:jc w:val="left"/>
            </w:pPr>
            <w:r>
              <w:t xml:space="preserve">Non-Recyclable Waste (Disposal)</w:t>
            </w:r>
          </w:p>
        </w:tc>
        <w:tc>
          <w:tcPr/>
          <w:p>
            <w:pPr>
              <w:pStyle w:val="Compact"/>
              <w:jc w:val="left"/>
            </w:pPr>
            <w:r>
              <w:t xml:space="preserve">20%</w:t>
            </w:r>
          </w:p>
        </w:tc>
        <w:tc>
          <w:tcPr/>
          <w:p>
            <w:pPr>
              <w:pStyle w:val="Compact"/>
              <w:jc w:val="left"/>
            </w:pPr>
            <w:r>
              <w:t xml:space="preserve">0.292</w:t>
            </w:r>
          </w:p>
        </w:tc>
        <w:tc>
          <w:tcPr/>
          <w:p>
            <w:pPr>
              <w:pStyle w:val="Compact"/>
              <w:jc w:val="left"/>
            </w:pPr>
            <w:r>
              <w:t xml:space="preserve">0.2</w:t>
            </w:r>
          </w:p>
        </w:tc>
        <w:tc>
          <w:tcPr/>
          <w:p>
            <w:pPr>
              <w:pStyle w:val="Compact"/>
              <w:jc w:val="left"/>
            </w:pPr>
            <w:r>
              <w:t xml:space="preserve">0.0584</w:t>
            </w:r>
          </w:p>
        </w:tc>
      </w:tr>
      <w:tr>
        <w:tc>
          <w:tcPr>
            <w:gridSpan w:val="4"/>
          </w:tcPr>
          <w:p>
            <w:pPr>
              <w:pStyle w:val="Compact"/>
              <w:jc w:val="right"/>
            </w:pPr>
            <w:r>
              <w:t xml:space="preserve">Subtotal End-of-Life Emissions (kg CO2e/unit):</w:t>
            </w:r>
          </w:p>
        </w:tc>
        <w:tc>
          <w:tcPr/>
          <w:p>
            <w:pPr>
              <w:pStyle w:val="Compact"/>
              <w:jc w:val="left"/>
            </w:pPr>
            <w:r>
              <w:t xml:space="preserve">0.1752</w:t>
            </w:r>
          </w:p>
        </w:tc>
      </w:tr>
    </w:tbl>
    <w:p>
      <w:pPr>
        <w:pStyle w:val="BodyText"/>
      </w:pPr>
      <w:r>
        <w:t xml:space="preserve">The formalized take-back scheme (\'ysfjlfwozx\') for \'smxhkylokj\' indicates an active effort by qfwqlyeinw to manage product end-of-life, potentially increasing actual recycling rates and ensuring proper disposal or reuse, which can further reduce the net environmental impact beyond the calculated baseline.</w:t>
      </w:r>
    </w:p>
    <w:p>
      <w:r>
        <w:pict>
          <v:rect style="width:0;height:1.5pt" o:hralign="center" o:hrstd="t" o:hr="t"/>
        </w:pict>
      </w:r>
    </w:p>
    <w:bookmarkEnd w:id="36"/>
    <w:bookmarkEnd w:id="37"/>
    <w:bookmarkStart w:id="40" w:name="calculate-emissions-total-pcf"/>
    <w:p>
      <w:pPr>
        <w:pStyle w:val="Heading2"/>
      </w:pPr>
      <w:r>
        <w:t xml:space="preserve">4. Calculate Emissions (Total PCF)</w:t>
      </w:r>
    </w:p>
    <w:p>
      <w:pPr>
        <w:pStyle w:val="FirstParagraph"/>
      </w:pPr>
      <w:r>
        <w:t xml:space="preserve">The total Product Carbon Footprint (PCF) for \'smxhkylokj\' is calculated by summing the emissions from each lifecycle stage, categorized by GHG Protocol scopes.</w:t>
      </w:r>
    </w:p>
    <w:bookmarkStart w:id="38" w:name="X7a3c91ea1acee132d1fc9adc99704c7a9c199d5"/>
    <w:p>
      <w:pPr>
        <w:pStyle w:val="Heading3"/>
      </w:pPr>
      <w:r>
        <w:t xml:space="preserve">Summary of Emissions by Lifecycle Stage and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GHG Scope</w:t>
            </w:r>
          </w:p>
        </w:tc>
        <w:tc>
          <w:tcPr/>
          <w:p>
            <w:pPr>
              <w:pStyle w:val="Compact"/>
              <w:jc w:val="left"/>
            </w:pPr>
            <w:r>
              <w:t xml:space="preserve">GHG Category</w:t>
            </w:r>
          </w:p>
        </w:tc>
      </w:tr>
      <w:tr>
        <w:tc>
          <w:tcPr/>
          <w:p>
            <w:pPr>
              <w:pStyle w:val="Compact"/>
              <w:jc w:val="left"/>
            </w:pPr>
            <w:r>
              <w:t xml:space="preserve">Materials (Raw Material Acquisition &amp; Production)</w:t>
            </w:r>
          </w:p>
        </w:tc>
        <w:tc>
          <w:tcPr/>
          <w:p>
            <w:pPr>
              <w:pStyle w:val="Compact"/>
              <w:jc w:val="left"/>
            </w:pPr>
            <w:r>
              <w:t xml:space="preserve">9.0800</w:t>
            </w:r>
          </w:p>
        </w:tc>
        <w:tc>
          <w:tcPr/>
          <w:p>
            <w:pPr>
              <w:pStyle w:val="Compact"/>
              <w:jc w:val="left"/>
            </w:pPr>
            <w:r>
              <w:t xml:space="preserve">Scope 3</w:t>
            </w:r>
          </w:p>
        </w:tc>
        <w:tc>
          <w:tcPr/>
          <w:p>
            <w:pPr>
              <w:pStyle w:val="Compact"/>
              <w:jc w:val="left"/>
            </w:pPr>
            <w:r>
              <w:t xml:space="preserve">Category 1: Purchased Goods and Services</w:t>
            </w:r>
          </w:p>
        </w:tc>
      </w:tr>
      <w:tr>
        <w:tc>
          <w:tcPr/>
          <w:p>
            <w:pPr>
              <w:pStyle w:val="Compact"/>
              <w:jc w:val="left"/>
            </w:pPr>
            <w:r>
              <w:t xml:space="preserve">Manufacturing (Energy Consumption)</w:t>
            </w:r>
          </w:p>
        </w:tc>
        <w:tc>
          <w:tcPr/>
          <w:p>
            <w:pPr>
              <w:pStyle w:val="Compact"/>
              <w:jc w:val="left"/>
            </w:pPr>
            <w:r>
              <w:t xml:space="preserve">1.5988</w:t>
            </w:r>
          </w:p>
        </w:tc>
        <w:tc>
          <w:tcPr/>
          <w:p>
            <w:pPr>
              <w:pStyle w:val="Compact"/>
              <w:jc w:val="left"/>
            </w:pPr>
            <w:r>
              <w:t xml:space="preserve">Scope 2</w:t>
            </w:r>
          </w:p>
        </w:tc>
        <w:tc>
          <w:tcPr/>
          <w:p>
            <w:pPr>
              <w:pStyle w:val="Compact"/>
              <w:jc w:val="left"/>
            </w:pPr>
            <w:r>
              <w:t xml:space="preserve">Purchased Electricity</w:t>
            </w:r>
          </w:p>
        </w:tc>
      </w:tr>
      <w:tr>
        <w:tc>
          <w:tcPr/>
          <w:p>
            <w:pPr>
              <w:pStyle w:val="Compact"/>
              <w:jc w:val="left"/>
            </w:pPr>
            <w:r>
              <w:t xml:space="preserve">Upstream Transport (to factory &amp; first distribution)</w:t>
            </w:r>
          </w:p>
        </w:tc>
        <w:tc>
          <w:tcPr/>
          <w:p>
            <w:pPr>
              <w:pStyle w:val="Compact"/>
              <w:jc w:val="left"/>
            </w:pPr>
            <w:r>
              <w:t xml:space="preserve">0.6150</w:t>
            </w:r>
          </w:p>
        </w:tc>
        <w:tc>
          <w:tcPr/>
          <w:p>
            <w:pPr>
              <w:pStyle w:val="Compact"/>
              <w:jc w:val="left"/>
            </w:pPr>
            <w:r>
              <w:t xml:space="preserve">Scope 3</w:t>
            </w:r>
          </w:p>
        </w:tc>
        <w:tc>
          <w:tcPr/>
          <w:p>
            <w:pPr>
              <w:pStyle w:val="Compact"/>
              <w:jc w:val="left"/>
            </w:pPr>
            <w:r>
              <w:t xml:space="preserve">Category 4: Upstream Transportation and Distribution</w:t>
            </w:r>
          </w:p>
        </w:tc>
      </w:tr>
      <w:tr>
        <w:tc>
          <w:tcPr/>
          <w:p>
            <w:pPr>
              <w:pStyle w:val="Compact"/>
              <w:jc w:val="left"/>
            </w:pPr>
            <w:r>
              <w:t xml:space="preserve">Use Phase (Energy Consumption by user)</w:t>
            </w:r>
          </w:p>
        </w:tc>
        <w:tc>
          <w:tcPr/>
          <w:p>
            <w:pPr>
              <w:pStyle w:val="Compact"/>
              <w:jc w:val="left"/>
            </w:pPr>
            <w:r>
              <w:t xml:space="preserve">18.7500</w:t>
            </w:r>
          </w:p>
        </w:tc>
        <w:tc>
          <w:tcPr/>
          <w:p>
            <w:pPr>
              <w:pStyle w:val="Compact"/>
              <w:jc w:val="left"/>
            </w:pPr>
            <w:r>
              <w:t xml:space="preserve">Scope 3</w:t>
            </w:r>
          </w:p>
        </w:tc>
        <w:tc>
          <w:tcPr/>
          <w:p>
            <w:pPr>
              <w:pStyle w:val="Compact"/>
              <w:jc w:val="left"/>
            </w:pPr>
            <w:r>
              <w:t xml:space="preserve">Category 11: Use of Sold Products</w:t>
            </w:r>
          </w:p>
        </w:tc>
      </w:tr>
      <w:tr>
        <w:tc>
          <w:tcPr/>
          <w:p>
            <w:pPr>
              <w:pStyle w:val="Compact"/>
              <w:jc w:val="left"/>
            </w:pPr>
            <w:r>
              <w:t xml:space="preserve">End-of-Life (Treatment of Sold Products)</w:t>
            </w:r>
          </w:p>
        </w:tc>
        <w:tc>
          <w:tcPr/>
          <w:p>
            <w:pPr>
              <w:pStyle w:val="Compact"/>
              <w:jc w:val="left"/>
            </w:pPr>
            <w:r>
              <w:t xml:space="preserve">0.1752</w:t>
            </w:r>
          </w:p>
        </w:tc>
        <w:tc>
          <w:tcPr/>
          <w:p>
            <w:pPr>
              <w:pStyle w:val="Compact"/>
              <w:jc w:val="left"/>
            </w:pPr>
            <w:r>
              <w:t xml:space="preserve">Scope 3</w:t>
            </w:r>
          </w:p>
        </w:tc>
        <w:tc>
          <w:tcPr/>
          <w:p>
            <w:pPr>
              <w:pStyle w:val="Compact"/>
              <w:jc w:val="left"/>
            </w:pPr>
            <w:r>
              <w:t xml:space="preserve">Category 12: End-of-Life Treatment of Sold Products</w:t>
            </w:r>
          </w:p>
        </w:tc>
      </w:tr>
      <w:tr>
        <w:tc>
          <w:tcPr/>
          <w:p>
            <w:pPr>
              <w:pStyle w:val="Compact"/>
              <w:jc w:val="left"/>
            </w:pPr>
            <w:r>
              <w:t xml:space="preserve">Total Product Carbon Footprint (PCF)</w:t>
            </w:r>
          </w:p>
        </w:tc>
        <w:tc>
          <w:tcPr/>
          <w:p>
            <w:pPr>
              <w:pStyle w:val="Compact"/>
              <w:jc w:val="left"/>
            </w:pPr>
            <w:r>
              <w:t xml:space="preserve">30.2190</w:t>
            </w:r>
          </w:p>
        </w:tc>
        <w:tc>
          <w:tcPr/>
          <w:p>
            <w:pPr>
              <w:pStyle w:val="Compact"/>
            </w:pPr>
          </w:p>
        </w:tc>
        <w:tc>
          <w:tcPr/>
          <w:p>
            <w:pPr>
              <w:pStyle w:val="Compact"/>
            </w:pPr>
          </w:p>
        </w:tc>
      </w:tr>
    </w:tbl>
    <w:bookmarkEnd w:id="38"/>
    <w:bookmarkStart w:id="39" w:name="total-emissions-by-ghg-scope"/>
    <w:p>
      <w:pPr>
        <w:pStyle w:val="Heading3"/>
      </w:pPr>
      <w:r>
        <w:t xml:space="preserve">Total Emissions by GHG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Total Emissions (kg CO2e/unit)</w:t>
            </w:r>
          </w:p>
        </w:tc>
        <w:tc>
          <w:tcPr/>
          <w:p>
            <w:pPr>
              <w:pStyle w:val="Compact"/>
              <w:jc w:val="left"/>
            </w:pPr>
            <w:r>
              <w:t xml:space="preserve">Percentage of Total PCF</w:t>
            </w:r>
          </w:p>
        </w:tc>
      </w:tr>
      <w:tr>
        <w:tc>
          <w:tcPr/>
          <w:p>
            <w:pPr>
              <w:pStyle w:val="Compact"/>
              <w:jc w:val="left"/>
            </w:pPr>
            <w:r>
              <w:t xml:space="preserve">Scope 1 (Direct Operations)</w:t>
            </w:r>
          </w:p>
        </w:tc>
        <w:tc>
          <w:tcPr/>
          <w:p>
            <w:pPr>
              <w:pStyle w:val="Compact"/>
              <w:jc w:val="left"/>
            </w:pPr>
            <w:r>
              <w:t xml:space="preserve">0.0000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1.5988</w:t>
            </w:r>
          </w:p>
        </w:tc>
        <w:tc>
          <w:tcPr/>
          <w:p>
            <w:pPr>
              <w:pStyle w:val="Compact"/>
              <w:jc w:val="left"/>
            </w:pPr>
            <w:r>
              <w:t xml:space="preserve">5.29%</w:t>
            </w:r>
          </w:p>
        </w:tc>
      </w:tr>
      <w:tr>
        <w:tc>
          <w:tcPr/>
          <w:p>
            <w:pPr>
              <w:pStyle w:val="Compact"/>
              <w:jc w:val="left"/>
            </w:pPr>
            <w:r>
              <w:t xml:space="preserve">Scope 3 (Value Chain - Upstream &amp; Downstream)</w:t>
            </w:r>
          </w:p>
        </w:tc>
        <w:tc>
          <w:tcPr/>
          <w:p>
            <w:pPr>
              <w:pStyle w:val="Compact"/>
              <w:jc w:val="left"/>
            </w:pPr>
            <w:r>
              <w:t xml:space="preserve">28.6202</w:t>
            </w:r>
          </w:p>
        </w:tc>
        <w:tc>
          <w:tcPr/>
          <w:p>
            <w:pPr>
              <w:pStyle w:val="Compact"/>
              <w:jc w:val="left"/>
            </w:pPr>
            <w:r>
              <w:t xml:space="preserve">94.71%</w:t>
            </w:r>
          </w:p>
        </w:tc>
      </w:tr>
      <w:tr>
        <w:tc>
          <w:tcPr/>
          <w:p>
            <w:pPr>
              <w:pStyle w:val="Compact"/>
              <w:jc w:val="left"/>
            </w:pPr>
            <w:r>
              <w:t xml:space="preserve">Grand Total PCF</w:t>
            </w:r>
          </w:p>
        </w:tc>
        <w:tc>
          <w:tcPr/>
          <w:p>
            <w:pPr>
              <w:pStyle w:val="Compact"/>
              <w:jc w:val="left"/>
            </w:pPr>
            <w:r>
              <w:t xml:space="preserve">30.2190</w:t>
            </w:r>
          </w:p>
        </w:tc>
        <w:tc>
          <w:tcPr/>
          <w:p>
            <w:pPr>
              <w:pStyle w:val="Compact"/>
              <w:jc w:val="left"/>
            </w:pPr>
            <w:r>
              <w:t xml:space="preserve">100.00%</w:t>
            </w:r>
          </w:p>
        </w:tc>
      </w:tr>
    </w:tbl>
    <w:p>
      <w:pPr>
        <w:pStyle w:val="BodyText"/>
      </w:pPr>
      <w:r>
        <w:t xml:space="preserve">As observed, Scope 3 emissions represent the vast majority of the product\'s carbon footprint (94.71%), significantly exceeding the 95% coverage requirement when considering the defined categories. This highlights the critical importance of value chain engagement in decarbonization efforts for \'smxhkylokj\'.</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Based on the analysis, the primary emission hotspots for \'smxhkylokj\' are:</w:t>
      </w:r>
    </w:p>
    <w:p>
      <w:pPr>
        <w:numPr>
          <w:ilvl w:val="0"/>
          <w:numId w:val="1008"/>
        </w:numPr>
        <w:pStyle w:val="Compact"/>
      </w:pPr>
      <w:r>
        <w:rPr>
          <w:bCs/>
          <w:b/>
        </w:rPr>
        <w:t xml:space="preserve">Use Phase (62.05%):</w:t>
      </w:r>
      <w:r>
        <w:t xml:space="preserve"> </w:t>
      </w:r>
      <w:r>
        <w:t xml:space="preserve">The energy consumption during the product\'s lifespan by the end-user accounts for the largest share of emissions. This indicates a strong opportunity for design improvements focusing on energy efficiency and low-carbon energy sources for product operation.</w:t>
      </w:r>
    </w:p>
    <w:p>
      <w:pPr>
        <w:numPr>
          <w:ilvl w:val="0"/>
          <w:numId w:val="1008"/>
        </w:numPr>
        <w:pStyle w:val="Compact"/>
      </w:pPr>
      <w:r>
        <w:rPr>
          <w:bCs/>
          <w:b/>
        </w:rPr>
        <w:t xml:space="preserve">Materials (29.74%):</w:t>
      </w:r>
      <w:r>
        <w:t xml:space="preserve"> </w:t>
      </w:r>
      <w:r>
        <w:t xml:space="preserve">The production of raw materials, particularly the Aluminum Casing and specific electronic components like the Silicon Microchip, contributes significantly to the upstream footprint. Exploring recycled content, alternative low-carbon materials, and engaging with suppliers on their manufacturing processes are key levers.</w:t>
      </w:r>
    </w:p>
    <w:p>
      <w:pPr>
        <w:numPr>
          <w:ilvl w:val="0"/>
          <w:numId w:val="1008"/>
        </w:numPr>
        <w:pStyle w:val="Compact"/>
      </w:pPr>
      <w:r>
        <w:rPr>
          <w:bCs/>
          <w:b/>
        </w:rPr>
        <w:t xml:space="preserve">Manufacturing Energy (5.29%):</w:t>
      </w:r>
      <w:r>
        <w:t xml:space="preserve"> </w:t>
      </w:r>
      <w:r>
        <w:t xml:space="preserve">While a portion of the manufacturing energy is renewable, the remaining grid electricity from China still contributes. Further increasing renewable energy procurement or on-site generation, as well as optimizing manufacturing processes for lower energy intensity, would be beneficial.</w:t>
      </w:r>
    </w:p>
    <w:p>
      <w:pPr>
        <w:numPr>
          <w:ilvl w:val="0"/>
          <w:numId w:val="1008"/>
        </w:numPr>
        <w:pStyle w:val="Compact"/>
      </w:pPr>
      <w:r>
        <w:rPr>
          <w:bCs/>
          <w:b/>
        </w:rPr>
        <w:t xml:space="preserve">Upstream Transport (2.03%):</w:t>
      </w:r>
      <w:r>
        <w:t xml:space="preserve"> </w:t>
      </w:r>
      <w:r>
        <w:t xml:space="preserve">Although smaller than other stages, the long-distance transport from the Europe-focused supply chain to the China-based factory, and subsequent distribution, adds to the footprint. Optimizing logistics, considering alternative transport modes, or regionalizing supply chains could reduce this impact.</w:t>
      </w:r>
    </w:p>
    <w:p>
      <w:pPr>
        <w:numPr>
          <w:ilvl w:val="0"/>
          <w:numId w:val="1008"/>
        </w:numPr>
        <w:pStyle w:val="Compact"/>
      </w:pPr>
      <w:r>
        <w:rPr>
          <w:bCs/>
          <w:b/>
        </w:rPr>
        <w:t xml:space="preserve">End-of-Life (0.58%):</w:t>
      </w:r>
      <w:r>
        <w:t xml:space="preserve"> </w:t>
      </w:r>
      <w:r>
        <w:t xml:space="preserve">Despite a high recyclability percentage and circular programs, there are still emissions associated with recycling and residual waste. Continued investment in circular economy initiatives and improving end-of-life infrastructure can further mitigate these emissions.</w:t>
      </w:r>
    </w:p>
    <w:bookmarkEnd w:id="41"/>
    <w:bookmarkStart w:id="42" w:name="data-reliability-and-limitations"/>
    <w:p>
      <w:pPr>
        <w:pStyle w:val="Heading3"/>
      </w:pPr>
      <w:r>
        <w:t xml:space="preserve">Data Reliability and Limitations</w:t>
      </w:r>
    </w:p>
    <w:p>
      <w:pPr>
        <w:pStyle w:val="FirstParagraph"/>
      </w:pPr>
      <w:r>
        <w:t xml:space="preserve">The reliability of this PCF analysis is contingent upon the accuracy of the input data.</w:t>
      </w:r>
    </w:p>
    <w:p>
      <w:pPr>
        <w:numPr>
          <w:ilvl w:val="0"/>
          <w:numId w:val="1009"/>
        </w:numPr>
        <w:pStyle w:val="Compact"/>
      </w:pPr>
      <w:r>
        <w:rPr>
          <w:bCs/>
          <w:b/>
        </w:rPr>
        <w:t xml:space="preserve">Primary Data:</w:t>
      </w:r>
      <w:r>
        <w:t xml:space="preserve"> </w:t>
      </w:r>
      <w:r>
        <w:t xml:space="preserve">Company-specific parameters for energy usage, product lifespan, and recyclability were provided and used directly.</w:t>
      </w:r>
    </w:p>
    <w:p>
      <w:pPr>
        <w:numPr>
          <w:ilvl w:val="0"/>
          <w:numId w:val="1009"/>
        </w:numPr>
        <w:pStyle w:val="Compact"/>
      </w:pPr>
      <w:r>
        <w:rPr>
          <w:bCs/>
          <w:b/>
        </w:rPr>
        <w:t xml:space="preserve">Secondary Data (Emission Factors):</w:t>
      </w:r>
      <w:r>
        <w:t xml:space="preserve"> </w:t>
      </w:r>
      <w:r>
        <w:t xml:space="preserve">Generic, illustrative emission factors from recognized industry sources (e.g., Ecoinvent, DEFRA, IEA, GLEC, EPA) were used for materials, energy mixes, and transport modes, as specific supplier-provided LCA data was not available for all components. While these are widely accepted, actual values can vary based on specific suppliers, technologies, and geographic nuances.</w:t>
      </w:r>
    </w:p>
    <w:p>
      <w:pPr>
        <w:numPr>
          <w:ilvl w:val="0"/>
          <w:numId w:val="1009"/>
        </w:numPr>
        <w:pStyle w:val="Compact"/>
      </w:pPr>
      <w:r>
        <w:rPr>
          <w:bCs/>
          <w:b/>
        </w:rPr>
        <w:t xml:space="preserve">Assumptions:</w:t>
      </w:r>
      <w:r>
        <w:t xml:space="preserve"> </w:t>
      </w:r>
      <w:r>
        <w:t xml:space="preserve">Several assumptions were made for placeholder values (e.g., specific BOM items, transport modes/distances, and energy consumption during use) to enable a comprehensive calculation, as noted throughout the report. Refinement with more specific primary data would enhance accuracy.</w:t>
      </w:r>
    </w:p>
    <w:p>
      <w:pPr>
        <w:numPr>
          <w:ilvl w:val="0"/>
          <w:numId w:val="1009"/>
        </w:numPr>
        <w:pStyle w:val="Compact"/>
      </w:pPr>
      <w:r>
        <w:rPr>
          <w:bCs/>
          <w:b/>
        </w:rPr>
        <w:t xml:space="preserve">2026 LSR Update:</w:t>
      </w:r>
      <w:r>
        <w:t xml:space="preserve"> </w:t>
      </w:r>
      <w:r>
        <w:t xml:space="preserve">The principles of the LSR Standard have been considered for materials, but without specific land-use change data tied to each raw material, the quantification remains at a higher level.</w:t>
      </w:r>
    </w:p>
    <w:bookmarkEnd w:id="42"/>
    <w:bookmarkStart w:id="43" w:name="recommendations-for-improvement"/>
    <w:p>
      <w:pPr>
        <w:pStyle w:val="Heading3"/>
      </w:pPr>
      <w:r>
        <w:t xml:space="preserve">Recommendations for Improvement</w:t>
      </w:r>
    </w:p>
    <w:p>
      <w:pPr>
        <w:numPr>
          <w:ilvl w:val="0"/>
          <w:numId w:val="1010"/>
        </w:numPr>
        <w:pStyle w:val="Compact"/>
      </w:pPr>
      <w:r>
        <w:rPr>
          <w:bCs/>
          <w:b/>
        </w:rPr>
        <w:t xml:space="preserve">Energy Efficiency in Use:</w:t>
      </w:r>
      <w:r>
        <w:t xml:space="preserve"> </w:t>
      </w:r>
      <w:r>
        <w:t xml:space="preserve">Invest in R&amp;D to significantly reduce the energy consumption of \'smxhkylokj\' during its operational lifespan.</w:t>
      </w:r>
    </w:p>
    <w:p>
      <w:pPr>
        <w:numPr>
          <w:ilvl w:val="0"/>
          <w:numId w:val="1010"/>
        </w:numPr>
        <w:pStyle w:val="Compact"/>
      </w:pPr>
      <w:r>
        <w:rPr>
          <w:bCs/>
          <w:b/>
        </w:rPr>
        <w:t xml:space="preserve">Sustainable Material Sourcing:</w:t>
      </w:r>
      <w:r>
        <w:t xml:space="preserve"> </w:t>
      </w:r>
      <w:r>
        <w:t xml:space="preserve">Prioritize materials with lower embedded carbon, increase recycled content targets for key components (e.g., aluminum, plastics), and engage with suppliers to obtain primary emission data.</w:t>
      </w:r>
    </w:p>
    <w:p>
      <w:pPr>
        <w:numPr>
          <w:ilvl w:val="0"/>
          <w:numId w:val="1010"/>
        </w:numPr>
        <w:pStyle w:val="Compact"/>
      </w:pPr>
      <w:r>
        <w:rPr>
          <w:bCs/>
          <w:b/>
        </w:rPr>
        <w:t xml:space="preserve">Renewable Energy Integration:</w:t>
      </w:r>
      <w:r>
        <w:t xml:space="preserve"> </w:t>
      </w:r>
      <w:r>
        <w:t xml:space="preserve">Explore opportunities to increase renewable energy procurement or on-site generation at manufacturing facilities, potentially exceeding the current 60%.</w:t>
      </w:r>
    </w:p>
    <w:p>
      <w:pPr>
        <w:numPr>
          <w:ilvl w:val="0"/>
          <w:numId w:val="1010"/>
        </w:numPr>
        <w:pStyle w:val="Compact"/>
      </w:pPr>
      <w:r>
        <w:rPr>
          <w:bCs/>
          <w:b/>
        </w:rPr>
        <w:t xml:space="preserve">Logistics Optimization:</w:t>
      </w:r>
      <w:r>
        <w:t xml:space="preserve"> </w:t>
      </w:r>
      <w:r>
        <w:t xml:space="preserve">Evaluate more efficient transportation routes, consider lower-emission transport modes (e.g., rail, sea where feasible), and consolidate shipments to reduce freight intensity.</w:t>
      </w:r>
    </w:p>
    <w:p>
      <w:pPr>
        <w:numPr>
          <w:ilvl w:val="0"/>
          <w:numId w:val="1010"/>
        </w:numPr>
        <w:pStyle w:val="Compact"/>
      </w:pPr>
      <w:r>
        <w:rPr>
          <w:bCs/>
          <w:b/>
        </w:rPr>
        <w:t xml:space="preserve">Circular Economy Enhancement:</w:t>
      </w:r>
      <w:r>
        <w:t xml:space="preserve"> </w:t>
      </w:r>
      <w:r>
        <w:t xml:space="preserve">Leverage the existing take-back scheme to maximize material recovery and explore opportunities for product refurbishment or remanufacturing to extend lifespan.</w:t>
      </w:r>
    </w:p>
    <w:p>
      <w:r>
        <w:pict>
          <v:rect style="width:0;height:1.5pt" o:hralign="center" o:hrstd="t" o:hr="t"/>
        </w:pict>
      </w:r>
    </w:p>
    <w:p>
      <w:pPr>
        <w:pStyle w:val="FirstParagraph"/>
      </w:pPr>
      <w:r>
        <w:t xml:space="preserve">Confidential - Internal Use Only</w:t>
      </w:r>
    </w:p>
    <w:p>
      <w:pPr>
        <w:pStyle w:val="BodyText"/>
      </w:pPr>
      <w:r>
        <w:t xml:space="preserve">© 2026 qfwqlyeinw. All rights reserved.</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smxhkylokj</dc:title>
  <dc:creator/>
  <dc:description>High-detail Product Carbon Footprint (PCF) analysis for product smxhkylokj by qfwqlyeinw, adhering to GHG Protocol and 2026 LSR Update standards.</dc:description>
  <dc:language>en</dc:language>
  <cp:keywords/>
  <dcterms:created xsi:type="dcterms:W3CDTF">2026-05-30T15:57:53Z</dcterms:created>
  <dcterms:modified xsi:type="dcterms:W3CDTF">2026-05-30T15:57:53Z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