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Widget</w:t>
      </w:r>
      <w:r>
        <w:t xml:space="preserve"> </w:t>
      </w:r>
      <w:r>
        <w:t xml:space="preserve">Pro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mart-widget-pro"/>
    <w:p>
      <w:pPr>
        <w:pStyle w:val="Heading2"/>
      </w:pPr>
      <w:r>
        <w:t xml:space="preserve">Product: Smart Widget Pro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Innovate Eco Solutions Inc.</w:t>
      </w:r>
    </w:p>
    <w:p>
      <w:pPr>
        <w:pStyle w:val="BodyText"/>
      </w:pPr>
      <w:r>
        <w:rPr>
          <w:bCs/>
          <w:b/>
        </w:rPr>
        <w:t xml:space="preserve">Senior Sustainability Consultant:</w:t>
      </w:r>
      <w:r>
        <w:t xml:space="preserve"> </w:t>
      </w:r>
      <w:r>
        <w:t xml:space="preserve">drdpxttvqs</w:t>
      </w:r>
    </w:p>
    <w:p>
      <w:pPr>
        <w:pStyle w:val="BodyText"/>
      </w:pPr>
      <w:r>
        <w:t xml:space="preserve">Disclaimer: This report is generated based on available data and industry standards, including specific parameters provided by Innovate Eco Solutions Inc. While efforts have been made to ensure accuracy and adherence to GHG Protocol guidelines, the results are indicative and subject to the quality and completeness of underlying data.</w:t>
      </w:r>
    </w:p>
    <w:bookmarkEnd w:id="20"/>
    <w:bookmarkEnd w:id="21"/>
    <w:bookmarkStart w:id="22" w:name="X509b248edcceb8dd7f8ec3b28272bab3e529441"/>
    <w:p>
      <w:pPr>
        <w:pStyle w:val="Heading1"/>
      </w:pPr>
      <w:r>
        <w:t xml:space="preserve">Product Carbon Footprint Analysis for Smart Widget Pro</w:t>
      </w:r>
    </w:p>
    <w:p>
      <w:pPr>
        <w:pStyle w:val="FirstParagraph"/>
      </w:pPr>
      <w:r>
        <w:rPr>
          <w:bCs/>
          <w:b/>
        </w:rPr>
        <w:t xml:space="preserve">Generated Date:</w:t>
      </w:r>
      <w:r>
        <w:t xml:space="preserve"> </w:t>
      </w:r>
      <w:r>
        <w:t xml:space="preserve">May 28,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"Smart Widget Pro" manufactured by Innovate Eco Solutions Inc. The analysis adheres to the GHG Protocol accounting standard, incorporating the latest 2026 Land Sector and Removals (LSR) update and ensuring comprehensive Scope 3 coverage. The PCF quantifies the total greenhouse gas emissions associated with the product across its entire lifecycle, from raw material acquisition to end-of-life treatment (Cradle-to-Grave). The primary objective is to identify emission hotspots and provide actionable insights for decarbonization efforts.</w:t>
      </w:r>
    </w:p>
    <w:bookmarkEnd w:id="23"/>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The Product Carbon Footprint (PCF) analysis for the Smart Widget Pro follows a structured, five-step methodology as per international best practices and the GHG Protocol Product Standard.</w:t>
      </w:r>
    </w:p>
    <w:bookmarkStart w:id="24"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Smart Widget Pro</w:t>
      </w:r>
      <w:r>
        <w:t xml:space="preserve">. This unit serves as the reference basis for all quantified environmental impacts throughout the product\'s lifecycle, ensuring comparability and consistency.</w:t>
      </w:r>
    </w:p>
    <w:bookmarkEnd w:id="24"/>
    <w:bookmarkStart w:id="25" w:name="system-boundary"/>
    <w:p>
      <w:pPr>
        <w:pStyle w:val="Heading3"/>
      </w:pPr>
      <w:r>
        <w:t xml:space="preserve">1.2. System Boundary</w:t>
      </w:r>
    </w:p>
    <w:p>
      <w:pPr>
        <w:numPr>
          <w:ilvl w:val="0"/>
          <w:numId w:val="1002"/>
        </w:numPr>
        <w:pStyle w:val="Compact"/>
      </w:pPr>
      <w:r>
        <w:t xml:space="preserve">This analysis adopts a</w:t>
      </w:r>
      <w:r>
        <w:t xml:space="preserve"> </w:t>
      </w:r>
      <w:r>
        <w:rPr>
          <w:bCs/>
          <w:b/>
        </w:rPr>
        <w:t xml:space="preserve">Cradle-to-Grave</w:t>
      </w:r>
      <w:r>
        <w:t xml:space="preserve"> </w:t>
      </w:r>
      <w:r>
        <w:t xml:space="preserve">system boundary. This comprehensive approach includes all stages from raw material extraction and processing, manufacturing, transportation, product use, and end-of-life treatment. While the production occurs at the \'factory_gate\' in China, the full lifecycle encompasses global supply chains and European market use.</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from and product distribution to Europe).</w:t>
      </w:r>
    </w:p>
    <w:bookmarkEnd w:id="26"/>
    <w:bookmarkStart w:id="27" w:name="accounting-standard"/>
    <w:p>
      <w:pPr>
        <w:pStyle w:val="Heading3"/>
      </w:pPr>
      <w:r>
        <w:t xml:space="preserve">1.4. Accounting Standard</w:t>
      </w:r>
    </w:p>
    <w:p>
      <w:pPr>
        <w:numPr>
          <w:ilvl w:val="0"/>
          <w:numId w:val="1004"/>
        </w:numPr>
        <w:pStyle w:val="Compact"/>
      </w:pPr>
      <w:r>
        <w:t xml:space="preserve">The assessment strictly adheres to the</w:t>
      </w:r>
      <w:r>
        <w:t xml:space="preserve"> </w:t>
      </w:r>
      <w:r>
        <w:rPr>
          <w:bCs/>
          <w:b/>
        </w:rPr>
        <w:t xml:space="preserve">GHG Protocol Corporate Value Chain (Scope 3) Standard and Product Standard</w:t>
      </w:r>
      <w:r>
        <w:t xml:space="preserve">. This includes categorizing emissions into Scope 1 (direct emissions), Scope 2 (purchased energy emissions), and Scope 3 (all other indirect value chain emissions). Furthermore, the analysis considers the upcoming 2026 updates, particularly regarding the 95% Scope 3 coverage requirement and the Land Sector and Removals (LSR) Standard.</w:t>
      </w:r>
    </w:p>
    <w:bookmarkEnd w:id="27"/>
    <w:bookmarkStart w:id="28" w:name="allocation"/>
    <w:p>
      <w:pPr>
        <w:pStyle w:val="Heading3"/>
      </w:pPr>
      <w:r>
        <w:t xml:space="preserve">1.5. Allocation</w:t>
      </w:r>
    </w:p>
    <w:p>
      <w:pPr>
        <w:numPr>
          <w:ilvl w:val="0"/>
          <w:numId w:val="1005"/>
        </w:numPr>
        <w:pStyle w:val="Compact"/>
      </w:pPr>
      <w:r>
        <w:t xml:space="preserve">Allocation of emissions to the functional unit is based on mass and economic allocation principles where co-products or by-products exist, ensuring that environmental burdens are fairly distributed. Specific allocation rules are applied for recycled content and end-of-life scenarios to reflect circular economy impacts.</w:t>
      </w:r>
    </w:p>
    <w:bookmarkEnd w:id="28"/>
    <w:bookmarkEnd w:id="29"/>
    <w:p>
      <w:r>
        <w:pict>
          <v:rect style="width:0;height:1.5pt" o:hralign="center" o:hrstd="t" o:hr="t"/>
        </w:pict>
      </w:r>
    </w:p>
    <w:bookmarkStart w:id="30" w:name="lifecycle-mapping-lci-inventory-stages"/>
    <w:p>
      <w:pPr>
        <w:pStyle w:val="Heading2"/>
      </w:pPr>
      <w:r>
        <w:t xml:space="preserve">2. Lifecycle Mapping (LCI Inventory Stages)</w:t>
      </w:r>
    </w:p>
    <w:p>
      <w:pPr>
        <w:pStyle w:val="FirstParagraph"/>
      </w:pPr>
      <w:r>
        <w:t xml:space="preserve">The lifecycle of the Smart Widget Pro has been mapped into the following stages, facilitating a detailed inventory of inputs and outputs:</w:t>
      </w:r>
    </w:p>
    <w:p>
      <w:pPr>
        <w:numPr>
          <w:ilvl w:val="0"/>
          <w:numId w:val="1006"/>
        </w:numPr>
        <w:pStyle w:val="Compact"/>
      </w:pPr>
      <w:r>
        <w:rPr>
          <w:bCs/>
          <w:b/>
        </w:rPr>
        <w:t xml:space="preserve">Material Acquisition &amp; Pre-processing (Raw Material Extraction and Production):</w:t>
      </w:r>
      <w:r>
        <w:t xml:space="preserve"> </w:t>
      </w:r>
      <w:r>
        <w:t xml:space="preserve">Covers the extraction of raw materials, their processing into intermediate materials (e.g., steel production, plastic polymerization), and component manufacturing.</w:t>
      </w:r>
    </w:p>
    <w:p>
      <w:pPr>
        <w:numPr>
          <w:ilvl w:val="0"/>
          <w:numId w:val="1006"/>
        </w:numPr>
        <w:pStyle w:val="Compact"/>
      </w:pPr>
      <w:r>
        <w:rPr>
          <w:bCs/>
          <w:b/>
        </w:rPr>
        <w:t xml:space="preserve">Manufacturing (Production &amp; Assembly):</w:t>
      </w:r>
      <w:r>
        <w:t xml:space="preserve"> </w:t>
      </w:r>
      <w:r>
        <w:t xml:space="preserve">Encompasses energy consumption and direct emissions during the assembly and finishing of the Smart Widget Pro in the manufacturing facility.</w:t>
      </w:r>
    </w:p>
    <w:p>
      <w:pPr>
        <w:numPr>
          <w:ilvl w:val="0"/>
          <w:numId w:val="1006"/>
        </w:numPr>
        <w:pStyle w:val="Compact"/>
      </w:pPr>
      <w:r>
        <w:rPr>
          <w:bCs/>
          <w:b/>
        </w:rPr>
        <w:t xml:space="preserve">Transportation (Logistics):</w:t>
      </w:r>
      <w:r>
        <w:t xml:space="preserve"> </w:t>
      </w:r>
      <w:r>
        <w:t xml:space="preserve">Includes all relevant transport activities, from material delivery to the factory (upstream) and the distribution of the finished product to the end-user (downstream).</w:t>
      </w:r>
    </w:p>
    <w:p>
      <w:pPr>
        <w:numPr>
          <w:ilvl w:val="0"/>
          <w:numId w:val="1006"/>
        </w:numPr>
        <w:pStyle w:val="Compact"/>
      </w:pPr>
      <w:r>
        <w:rPr>
          <w:bCs/>
          <w:b/>
        </w:rPr>
        <w:t xml:space="preserve">Use Phase (Product Operation):</w:t>
      </w:r>
      <w:r>
        <w:t xml:space="preserve"> </w:t>
      </w:r>
      <w:r>
        <w:t xml:space="preserve">Accounts for energy consumption during the product\'s expected lifespan by the end-user.</w:t>
      </w:r>
    </w:p>
    <w:p>
      <w:pPr>
        <w:numPr>
          <w:ilvl w:val="0"/>
          <w:numId w:val="1006"/>
        </w:numPr>
        <w:pStyle w:val="Compact"/>
      </w:pPr>
      <w:r>
        <w:rPr>
          <w:bCs/>
          <w:b/>
        </w:rPr>
        <w:t xml:space="preserve">End-of-Life (EoL) Treatment:</w:t>
      </w:r>
      <w:r>
        <w:t xml:space="preserve"> </w:t>
      </w:r>
      <w:r>
        <w:t xml:space="preserve">Addresses the disposal, recycling, or recovery of the product and its components at the end of its functional life.</w:t>
      </w:r>
    </w:p>
    <w:bookmarkEnd w:id="30"/>
    <w:p>
      <w:r>
        <w:pict>
          <v:rect style="width:0;height:1.5pt" o:hralign="center" o:hrstd="t" o:hr="t"/>
        </w:pict>
      </w:r>
    </w:p>
    <w:bookmarkStart w:id="36" w:name="data-collection-and-inputs"/>
    <w:p>
      <w:pPr>
        <w:pStyle w:val="Heading2"/>
      </w:pPr>
      <w:r>
        <w:t xml:space="preserve">3. Data Collection and Inputs</w:t>
      </w:r>
    </w:p>
    <w:p>
      <w:pPr>
        <w:pStyle w:val="FirstParagraph"/>
      </w:pPr>
      <w:r>
        <w:t xml:space="preserve">Primary and secondary data were collected to ensure a robust inventory. Specific product parameters and industry-standard emission factors were utilized.</w:t>
      </w:r>
    </w:p>
    <w:bookmarkStart w:id="31" w:name="detailed-bill-of-materials-bom"/>
    <w:p>
      <w:pPr>
        <w:pStyle w:val="Heading3"/>
      </w:pPr>
      <w:r>
        <w:t xml:space="preserve">3.1. Detailed Bill of Materials (BOM)</w:t>
      </w:r>
    </w:p>
    <w:p>
      <w:pPr>
        <w:pStyle w:val="FirstParagraph"/>
      </w:pPr>
      <w:r>
        <w:t xml:space="preserve">The following detailed Bill of Materials (BOM) for the Smart Widget Pro was used for high-accuracy material impact calculation. The \'Total Carbon\' values represent the pre-calculated carbon footprint (in kg CO2e) for the specified quantity of each material, incorporating material extraction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MATERIAL_001</w:t>
            </w:r>
          </w:p>
        </w:tc>
        <w:tc>
          <w:tcPr/>
          <w:p>
            <w:pPr>
              <w:pStyle w:val="Compact"/>
              <w:jc w:val="left"/>
            </w:pPr>
            <w:r>
              <w:t xml:space="preserve">Steel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MATERIAL_002</w:t>
            </w:r>
          </w:p>
        </w:tc>
        <w:tc>
          <w:tcPr/>
          <w:p>
            <w:pPr>
              <w:pStyle w:val="Compact"/>
              <w:jc w:val="left"/>
            </w:pPr>
            <w:r>
              <w:t xml:space="preserve">Plastic ABS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MATERIAL_003</w:t>
            </w:r>
          </w:p>
        </w:tc>
        <w:tc>
          <w:tcPr/>
          <w:p>
            <w:pPr>
              <w:pStyle w:val="Compact"/>
              <w:jc w:val="left"/>
            </w:pPr>
            <w:r>
              <w:t xml:space="preserve">Aluminum (heatsink)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MATERIAL_004</w:t>
            </w:r>
          </w:p>
        </w:tc>
        <w:tc>
          <w:tcPr/>
          <w:p>
            <w:pPr>
              <w:pStyle w:val="Compact"/>
              <w:jc w:val="left"/>
            </w:pPr>
            <w:r>
              <w:t xml:space="preserve">Electronic Components (PCB, chips)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0.01</w:t>
            </w:r>
          </w:p>
        </w:tc>
        <w:tc>
          <w:tcPr/>
          <w:p>
            <w:pPr>
              <w:pStyle w:val="Compact"/>
              <w:jc w:val="left"/>
            </w:pPr>
            <w:r>
              <w:t xml:space="preserve">0.01</w:t>
            </w:r>
          </w:p>
        </w:tc>
      </w:tr>
      <w:tr>
        <w:tc>
          <w:tcPr/>
          <w:p>
            <w:pPr>
              <w:pStyle w:val="Compact"/>
              <w:jc w:val="left"/>
            </w:pPr>
            <w:r>
              <w:t xml:space="preserve">MATERIAL_005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bookmarkEnd w:id="31"/>
    <w:bookmarkStart w:id="32" w:name="production-energy-inputs"/>
    <w:p>
      <w:pPr>
        <w:pStyle w:val="Heading3"/>
      </w:pPr>
      <w:r>
        <w:t xml:space="preserve">3.2. Production Energy Inputs</w:t>
      </w:r>
    </w:p>
    <w:p>
      <w:pPr>
        <w:numPr>
          <w:ilvl w:val="0"/>
          <w:numId w:val="1007"/>
        </w:numPr>
        <w:pStyle w:val="Compact"/>
      </w:pPr>
      <w:r>
        <w:rPr>
          <w:bCs/>
          <w:b/>
        </w:rPr>
        <w:t xml:space="preserve">Energy Intensity (Manufacturing):</w:t>
      </w:r>
      <w:r>
        <w:t xml:space="preserve"> </w:t>
      </w:r>
      <w:r>
        <w:t xml:space="preserve">0.8 kWh/unit.</w:t>
      </w:r>
    </w:p>
    <w:p>
      <w:pPr>
        <w:numPr>
          <w:ilvl w:val="0"/>
          <w:numId w:val="1007"/>
        </w:numPr>
        <w:pStyle w:val="Compact"/>
      </w:pPr>
      <w:r>
        <w:rPr>
          <w:bCs/>
          <w:b/>
        </w:rPr>
        <w:t xml:space="preserve">Renewable Energy Usage (Manufacturing):</w:t>
      </w:r>
      <w:r>
        <w:t xml:space="preserve"> </w:t>
      </w:r>
      <w:r>
        <w:t xml:space="preserve">60%.</w:t>
      </w:r>
    </w:p>
    <w:p>
      <w:pPr>
        <w:numPr>
          <w:ilvl w:val="0"/>
          <w:numId w:val="1007"/>
        </w:numPr>
        <w:pStyle w:val="Compact"/>
      </w:pPr>
      <w:r>
        <w:rPr>
          <w:bCs/>
          <w:b/>
        </w:rPr>
        <w:t xml:space="preserve">Non-renewable Electricity Mix (China):</w:t>
      </w:r>
      <w:r>
        <w:t xml:space="preserve"> </w:t>
      </w:r>
      <w:r>
        <w:t xml:space="preserve">Assumed 40% of energy intensity. Grid emission factor for China: 0.6 kg CO2e/kWh.</w:t>
      </w:r>
    </w:p>
    <w:bookmarkEnd w:id="32"/>
    <w:bookmarkStart w:id="33" w:name="transportation-logistics"/>
    <w:p>
      <w:pPr>
        <w:pStyle w:val="Heading3"/>
      </w:pPr>
      <w:r>
        <w:t xml:space="preserve">3.3. Transportation Logistics</w:t>
      </w:r>
    </w:p>
    <w:p>
      <w:pPr>
        <w:numPr>
          <w:ilvl w:val="0"/>
          <w:numId w:val="1008"/>
        </w:numPr>
        <w:pStyle w:val="Compact"/>
      </w:pPr>
      <w:r>
        <w:rPr>
          <w:bCs/>
          <w:b/>
        </w:rPr>
        <w:t xml:space="preserve">Primary Transport Mode (Factory to European Distribution):</w:t>
      </w:r>
      <w:r>
        <w:t xml:space="preserve"> </w:t>
      </w:r>
      <w:r>
        <w:t xml:space="preserve">Road Freight, Heavy Goods Vehicle.</w:t>
      </w:r>
    </w:p>
    <w:p>
      <w:pPr>
        <w:numPr>
          <w:ilvl w:val="0"/>
          <w:numId w:val="1008"/>
        </w:numPr>
        <w:pStyle w:val="Compact"/>
      </w:pPr>
      <w:r>
        <w:rPr>
          <w:bCs/>
          <w:b/>
        </w:rPr>
        <w:t xml:space="preserve">Transport Distance (Primary):</w:t>
      </w:r>
      <w:r>
        <w:t xml:space="preserve"> </w:t>
      </w:r>
      <w:r>
        <w:t xml:space="preserve">2500 km.</w:t>
      </w:r>
    </w:p>
    <w:p>
      <w:pPr>
        <w:numPr>
          <w:ilvl w:val="0"/>
          <w:numId w:val="1008"/>
        </w:numPr>
        <w:pStyle w:val="Compact"/>
      </w:pPr>
      <w:r>
        <w:rPr>
          <w:bCs/>
          <w:b/>
        </w:rPr>
        <w:t xml:space="preserve">Last-Mile Delivery Channel:</w:t>
      </w:r>
      <w:r>
        <w:t xml:space="preserve"> </w:t>
      </w:r>
      <w:r>
        <w:t xml:space="preserve">Parcel Delivery Van.</w:t>
      </w:r>
    </w:p>
    <w:p>
      <w:pPr>
        <w:numPr>
          <w:ilvl w:val="0"/>
          <w:numId w:val="1008"/>
        </w:numPr>
        <w:pStyle w:val="Compact"/>
      </w:pPr>
      <w:r>
        <w:rPr>
          <w:bCs/>
          <w:b/>
        </w:rPr>
        <w:t xml:space="preserve">Emission Factor (Road Freight HGV):</w:t>
      </w:r>
      <w:r>
        <w:t xml:space="preserve"> </w:t>
      </w:r>
      <w:r>
        <w:t xml:space="preserve">0.1 kg CO2e/tkm (tonne-kilometer).</w:t>
      </w:r>
    </w:p>
    <w:p>
      <w:pPr>
        <w:numPr>
          <w:ilvl w:val="0"/>
          <w:numId w:val="1008"/>
        </w:numPr>
        <w:pStyle w:val="Compact"/>
      </w:pPr>
      <w:r>
        <w:rPr>
          <w:bCs/>
          <w:b/>
        </w:rPr>
        <w:t xml:space="preserve">Emission Factor (Last-Mile Delivery Van):</w:t>
      </w:r>
      <w:r>
        <w:t xml:space="preserve"> </w:t>
      </w:r>
      <w:r>
        <w:t xml:space="preserve">Assumed 0.1 kg CO2e/unit (allocated for an average last-mile journey).</w:t>
      </w:r>
    </w:p>
    <w:bookmarkEnd w:id="33"/>
    <w:bookmarkStart w:id="34"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15 kWh/year.</w:t>
      </w:r>
    </w:p>
    <w:p>
      <w:pPr>
        <w:numPr>
          <w:ilvl w:val="0"/>
          <w:numId w:val="1009"/>
        </w:numPr>
        <w:pStyle w:val="Compact"/>
      </w:pPr>
      <w:r>
        <w:rPr>
          <w:bCs/>
          <w:b/>
        </w:rPr>
        <w:t xml:space="preserve">Electricity Mix (European Use Phase):</w:t>
      </w:r>
      <w:r>
        <w:t xml:space="preserve"> </w:t>
      </w:r>
      <w:r>
        <w:t xml:space="preserve">Grid emission factor for Europe (EU average): 0.238 kg CO2e/kWh.</w:t>
      </w:r>
    </w:p>
    <w:bookmarkEnd w:id="34"/>
    <w:bookmarkStart w:id="35" w:name="end-of-life-scenarios"/>
    <w:p>
      <w:pPr>
        <w:pStyle w:val="Heading3"/>
      </w:pPr>
      <w:r>
        <w:t xml:space="preserve">3.5. End-of-Life Scenarios</w:t>
      </w:r>
    </w:p>
    <w:p>
      <w:pPr>
        <w:numPr>
          <w:ilvl w:val="0"/>
          <w:numId w:val="1010"/>
        </w:numPr>
        <w:pStyle w:val="Compact"/>
      </w:pPr>
      <w:r>
        <w:rPr>
          <w:bCs/>
          <w:b/>
        </w:rPr>
        <w:t xml:space="preserve">Recyclability Percentage:</w:t>
      </w:r>
      <w:r>
        <w:t xml:space="preserve"> </w:t>
      </w:r>
      <w:r>
        <w:t xml:space="preserve">75%.</w:t>
      </w:r>
    </w:p>
    <w:p>
      <w:pPr>
        <w:numPr>
          <w:ilvl w:val="0"/>
          <w:numId w:val="1010"/>
        </w:numPr>
        <w:pStyle w:val="Compact"/>
      </w:pPr>
      <w:r>
        <w:rPr>
          <w:bCs/>
          <w:b/>
        </w:rPr>
        <w:t xml:space="preserve">Circular/Take-back Programs:</w:t>
      </w:r>
      <w:r>
        <w:t xml:space="preserve"> </w:t>
      </w:r>
      <w:r>
        <w:t xml:space="preserve">Yes, comprehensive product take-back program in EU.</w:t>
      </w:r>
    </w:p>
    <w:bookmarkEnd w:id="35"/>
    <w:bookmarkEnd w:id="36"/>
    <w:p>
      <w:r>
        <w:pict>
          <v:rect style="width:0;height:1.5pt" o:hralign="center" o:hrstd="t" o:hr="t"/>
        </w:pict>
      </w:r>
    </w:p>
    <w:bookmarkStart w:id="48"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All results are presented in kilograms of carbon dioxide equivalent (kg CO2e) per functional unit of Smart Widget Pro.</w:t>
      </w:r>
    </w:p>
    <w:bookmarkStart w:id="39" w:name="scope-3-upstream-emissions"/>
    <w:p>
      <w:pPr>
        <w:pStyle w:val="Heading3"/>
      </w:pPr>
      <w:r>
        <w:t xml:space="preserve">4.1. Scope 3: Upstream Emissions</w:t>
      </w:r>
    </w:p>
    <w:bookmarkStart w:id="37" w:name="Xb84281fdbc50ff219a1fbb0a710f2ef120e8987"/>
    <w:p>
      <w:pPr>
        <w:pStyle w:val="Heading4"/>
      </w:pPr>
      <w:r>
        <w:t xml:space="preserve">4.1.1. Material Acquisition &amp; Pre-processing (GHG Protocol Scope 3, Category 1: Purchased goods and services)</w:t>
      </w:r>
    </w:p>
    <w:p>
      <w:pPr>
        <w:pStyle w:val="FirstParagraph"/>
      </w:pPr>
      <w:r>
        <w:t xml:space="preserve">The emissions from the production of raw materials and components are directly summed from the provided BOM.</w:t>
      </w:r>
    </w:p>
    <w:p>
      <w:pPr>
        <w:numPr>
          <w:ilvl w:val="0"/>
          <w:numId w:val="1011"/>
        </w:numPr>
        <w:pStyle w:val="Compact"/>
      </w:pPr>
      <w:r>
        <w:t xml:space="preserve">Total Emissions (Materials): 1.0 kgCO2e (Steel) + 0.7 kgCO2e (Plastic) + 0.75 kgCO2e (Aluminum) + 0.01 kgCO2e (Electronics) + 0.08 kgCO2e (Packaging) =</w:t>
      </w:r>
      <w:r>
        <w:t xml:space="preserve"> </w:t>
      </w:r>
      <w:r>
        <w:rPr>
          <w:bCs/>
          <w:b/>
        </w:rPr>
        <w:t xml:space="preserve">2.54 kg CO2e/unit</w:t>
      </w:r>
      <w:r>
        <w:t xml:space="preserve">.</w:t>
      </w:r>
    </w:p>
    <w:bookmarkEnd w:id="37"/>
    <w:bookmarkStart w:id="38" w:name="X4e70451f34dce1b567f6b065450eeef30d6c287"/>
    <w:p>
      <w:pPr>
        <w:pStyle w:val="Heading4"/>
      </w:pPr>
      <w:r>
        <w:t xml:space="preserve">4.1.2. Upstream Transportation and Distribution (GHG Protocol Scope 3, Category 4)</w:t>
      </w:r>
    </w:p>
    <w:p>
      <w:pPr>
        <w:pStyle w:val="FirstParagraph"/>
      </w:pPr>
      <w:r>
        <w:t xml:space="preserve">Emissions associated with transporting the finished product from the factory in China to the European distribution hub. The total product mass is estimated at 1 kg for transport calculations.</w:t>
      </w:r>
    </w:p>
    <w:p>
      <w:pPr>
        <w:numPr>
          <w:ilvl w:val="0"/>
          <w:numId w:val="1012"/>
        </w:numPr>
        <w:pStyle w:val="Compact"/>
      </w:pPr>
      <w:r>
        <w:t xml:space="preserve">Primary Transport (2500 km by HGV): 1 kg (0.001 tonne) * 2500 km * 0.1 kg CO2e/tkm =</w:t>
      </w:r>
      <w:r>
        <w:t xml:space="preserve"> </w:t>
      </w:r>
      <w:r>
        <w:rPr>
          <w:bCs/>
          <w:b/>
        </w:rPr>
        <w:t xml:space="preserve">0.25 kg CO2e/unit</w:t>
      </w:r>
      <w:r>
        <w:t xml:space="preserve">.</w:t>
      </w:r>
    </w:p>
    <w:bookmarkEnd w:id="38"/>
    <w:bookmarkEnd w:id="39"/>
    <w:bookmarkStart w:id="41" w:name="scope-1-2-manufacturing-emissions"/>
    <w:p>
      <w:pPr>
        <w:pStyle w:val="Heading3"/>
      </w:pPr>
      <w:r>
        <w:t xml:space="preserve">4.2. Scope 1 &amp; 2: Manufacturing Emissions</w:t>
      </w:r>
    </w:p>
    <w:bookmarkStart w:id="40" w:name="Xef68e58f7651fd5a52352e442fbd9a1d50304ec"/>
    <w:p>
      <w:pPr>
        <w:pStyle w:val="Heading4"/>
      </w:pPr>
      <w:r>
        <w:t xml:space="preserve">4.2.1. Manufacturing (GHG Protocol Scope 2: Purchased Electricity)</w:t>
      </w:r>
    </w:p>
    <w:p>
      <w:pPr>
        <w:pStyle w:val="FirstParagraph"/>
      </w:pPr>
      <w:r>
        <w:t xml:space="preserve">Emissions from the electricity consumed during the manufacturing process in China, considering the renewable energy usage.</w:t>
      </w:r>
    </w:p>
    <w:p>
      <w:pPr>
        <w:numPr>
          <w:ilvl w:val="0"/>
          <w:numId w:val="1013"/>
        </w:numPr>
        <w:pStyle w:val="Compact"/>
      </w:pPr>
      <w:r>
        <w:t xml:space="preserve">Non-renewable electricity consumption: 0.8 kWh/unit * (1 - 0.60) = 0.32 kWh/unit.</w:t>
      </w:r>
    </w:p>
    <w:p>
      <w:pPr>
        <w:numPr>
          <w:ilvl w:val="0"/>
          <w:numId w:val="1013"/>
        </w:numPr>
        <w:pStyle w:val="Compact"/>
      </w:pPr>
      <w:r>
        <w:t xml:space="preserve">Manufacturing Emissions: 0.32 kWh/unit * 0.6 kg CO2e/kWh (China grid EF) =</w:t>
      </w:r>
      <w:r>
        <w:t xml:space="preserve"> </w:t>
      </w:r>
      <w:r>
        <w:rPr>
          <w:bCs/>
          <w:b/>
        </w:rPr>
        <w:t xml:space="preserve">0.192 kg CO2e/unit</w:t>
      </w:r>
      <w:r>
        <w:t xml:space="preserve">.</w:t>
      </w:r>
    </w:p>
    <w:p>
      <w:pPr>
        <w:numPr>
          <w:ilvl w:val="0"/>
          <w:numId w:val="1013"/>
        </w:numPr>
        <w:pStyle w:val="Compact"/>
      </w:pPr>
      <w:r>
        <w:t xml:space="preserve">(Note: This calculation assumes that Scope 1 direct emissions from manufacturing are negligible or included within the electricity grid factor if a specific plant\'s combined heat and power is part of the grid mix.)</w:t>
      </w:r>
    </w:p>
    <w:bookmarkEnd w:id="40"/>
    <w:bookmarkEnd w:id="41"/>
    <w:bookmarkStart w:id="45" w:name="scope-3-downstream-emissions"/>
    <w:p>
      <w:pPr>
        <w:pStyle w:val="Heading3"/>
      </w:pPr>
      <w:r>
        <w:t xml:space="preserve">4.3. Scope 3: Downstream Emissions</w:t>
      </w:r>
    </w:p>
    <w:bookmarkStart w:id="42" w:name="Xd0df74c9d72dab8c39e1d730cc1dcb6a2840586"/>
    <w:p>
      <w:pPr>
        <w:pStyle w:val="Heading4"/>
      </w:pPr>
      <w:r>
        <w:t xml:space="preserve">4.3.1. Downstream Transportation and Distribution (GHG Protocol Scope 3, Category 9)</w:t>
      </w:r>
    </w:p>
    <w:p>
      <w:pPr>
        <w:pStyle w:val="FirstParagraph"/>
      </w:pPr>
      <w:r>
        <w:t xml:space="preserve">Emissions from the last-mile delivery of the product to the end-user in Europe.</w:t>
      </w:r>
    </w:p>
    <w:p>
      <w:pPr>
        <w:numPr>
          <w:ilvl w:val="0"/>
          <w:numId w:val="1014"/>
        </w:numPr>
        <w:pStyle w:val="Compact"/>
      </w:pPr>
      <w:r>
        <w:t xml:space="preserve">Last-Mile Delivery (Parcel Delivery Van):</w:t>
      </w:r>
      <w:r>
        <w:t xml:space="preserve"> </w:t>
      </w:r>
      <w:r>
        <w:rPr>
          <w:bCs/>
          <w:b/>
        </w:rPr>
        <w:t xml:space="preserve">0.1 kg CO2e/unit</w:t>
      </w:r>
      <w:r>
        <w:t xml:space="preserve"> </w:t>
      </w:r>
      <w:r>
        <w:t xml:space="preserve">(estimated allocation).</w:t>
      </w:r>
    </w:p>
    <w:p>
      <w:pPr>
        <w:numPr>
          <w:ilvl w:val="0"/>
          <w:numId w:val="1014"/>
        </w:numPr>
        <w:pStyle w:val="Compact"/>
      </w:pPr>
      <w:r>
        <w:t xml:space="preserve">Total Transport Emissions (Upstream + Downstream): 0.25 kg CO2e + 0.1 kg CO2e =</w:t>
      </w:r>
      <w:r>
        <w:t xml:space="preserve"> </w:t>
      </w:r>
      <w:r>
        <w:rPr>
          <w:bCs/>
          <w:b/>
        </w:rPr>
        <w:t xml:space="preserve">0.35 kg CO2e/unit</w:t>
      </w:r>
      <w:r>
        <w:t xml:space="preserve">.</w:t>
      </w:r>
    </w:p>
    <w:bookmarkEnd w:id="42"/>
    <w:bookmarkStart w:id="43" w:name="X78968e69a3ff6334b8a730b837685fb386efd99"/>
    <w:p>
      <w:pPr>
        <w:pStyle w:val="Heading4"/>
      </w:pPr>
      <w:r>
        <w:t xml:space="preserve">4.3.2. Use of Sold Products (GHG Protocol Scope 3, Category 11)</w:t>
      </w:r>
    </w:p>
    <w:p>
      <w:pPr>
        <w:pStyle w:val="FirstParagraph"/>
      </w:pPr>
      <w:r>
        <w:t xml:space="preserve">Emissions from the electricity consumed by the Smart Widget Pro during its 5-year lifespan in Europe.</w:t>
      </w:r>
    </w:p>
    <w:p>
      <w:pPr>
        <w:numPr>
          <w:ilvl w:val="0"/>
          <w:numId w:val="1015"/>
        </w:numPr>
        <w:pStyle w:val="Compact"/>
      </w:pPr>
      <w:r>
        <w:t xml:space="preserve">Total energy consumption over lifespan: 15 kWh/year * 5 years = 75 kWh/unit.</w:t>
      </w:r>
    </w:p>
    <w:p>
      <w:pPr>
        <w:numPr>
          <w:ilvl w:val="0"/>
          <w:numId w:val="1015"/>
        </w:numPr>
        <w:pStyle w:val="Compact"/>
      </w:pPr>
      <w:r>
        <w:t xml:space="preserve">Use Phase Emissions: 75 kWh/unit * 0.238 kg CO2e/kWh (Europe grid EF) =</w:t>
      </w:r>
      <w:r>
        <w:t xml:space="preserve"> </w:t>
      </w:r>
      <w:r>
        <w:rPr>
          <w:bCs/>
          <w:b/>
        </w:rPr>
        <w:t xml:space="preserve">17.85 kg CO2e/unit</w:t>
      </w:r>
      <w:r>
        <w:t xml:space="preserve">.</w:t>
      </w:r>
    </w:p>
    <w:bookmarkEnd w:id="43"/>
    <w:bookmarkStart w:id="44" w:name="X9f29e3330a71ec06db3e3e623aeddbb51a2f98a"/>
    <w:p>
      <w:pPr>
        <w:pStyle w:val="Heading4"/>
      </w:pPr>
      <w:r>
        <w:t xml:space="preserve">4.3.3. End-of-Life Treatment of Sold Products (GHG Protocol Scope 3, Category 12)</w:t>
      </w:r>
    </w:p>
    <w:p>
      <w:pPr>
        <w:pStyle w:val="FirstParagraph"/>
      </w:pPr>
      <w:r>
        <w:t xml:space="preserve">Emissions and avoided emissions from the end-of-life management, considering the high recyclability and circular economy programs.</w:t>
      </w:r>
    </w:p>
    <w:p>
      <w:pPr>
        <w:numPr>
          <w:ilvl w:val="0"/>
          <w:numId w:val="1016"/>
        </w:numPr>
        <w:pStyle w:val="Compact"/>
      </w:pPr>
      <w:r>
        <w:t xml:space="preserve">Total relevant material production emissions (for EoL calculation): 2.53 kg CO2e (excluding electronics for simplified EoL).</w:t>
      </w:r>
    </w:p>
    <w:p>
      <w:pPr>
        <w:numPr>
          <w:ilvl w:val="0"/>
          <w:numId w:val="1016"/>
        </w:numPr>
        <w:pStyle w:val="Compact"/>
      </w:pPr>
      <w:r>
        <w:t xml:space="preserve">Recycled portion (75%): 2.53 kg CO2e * 0.75 * 0.70 (avoidance rate) = -1.33 kg CO2e (avoided emissions).</w:t>
      </w:r>
    </w:p>
    <w:p>
      <w:pPr>
        <w:numPr>
          <w:ilvl w:val="0"/>
          <w:numId w:val="1016"/>
        </w:numPr>
        <w:pStyle w:val="Compact"/>
      </w:pPr>
      <w:r>
        <w:t xml:space="preserve">Disposed portion (25%, mass of 0.95 kg): 0.95 kg * 0.25 * 0.1 kg CO2e/kg (disposal EF) = 0.02375 kg CO2e.</w:t>
      </w:r>
    </w:p>
    <w:p>
      <w:pPr>
        <w:numPr>
          <w:ilvl w:val="0"/>
          <w:numId w:val="1016"/>
        </w:numPr>
        <w:pStyle w:val="Compact"/>
      </w:pPr>
      <w:r>
        <w:t xml:space="preserve">Net End-of-Life Emissions: -1.33 kg CO2e + 0.02375 kg CO2e =</w:t>
      </w:r>
      <w:r>
        <w:t xml:space="preserve"> </w:t>
      </w:r>
      <w:r>
        <w:rPr>
          <w:bCs/>
          <w:b/>
        </w:rPr>
        <w:t xml:space="preserve">-1.30625 kg CO2e/unit</w:t>
      </w:r>
      <w:r>
        <w:t xml:space="preserve">. (Represents a net benefit due to significant recycling).</w:t>
      </w:r>
    </w:p>
    <w:bookmarkEnd w:id="44"/>
    <w:bookmarkEnd w:id="45"/>
    <w:bookmarkStart w:id="46" w:name="total-product-carbon-footprint-pcf"/>
    <w:p>
      <w:pPr>
        <w:pStyle w:val="Heading3"/>
      </w:pPr>
      <w:r>
        <w:t xml:space="preserve">4.4.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Scope(s)</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2.540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0.192</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0.350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17.850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-1.306</w:t>
            </w:r>
          </w:p>
        </w:tc>
      </w:tr>
      <w:tr>
        <w:tc>
          <w:tcPr/>
          <w:p>
            <w:pPr>
              <w:pStyle w:val="Compact"/>
              <w:jc w:val="left"/>
            </w:pPr>
            <w:r>
              <w:t xml:space="preserve">TOTAL PRODUCT CARBON FOOTPRINT</w:t>
            </w:r>
          </w:p>
        </w:tc>
        <w:tc>
          <w:tcPr/>
          <w:p>
            <w:pPr>
              <w:pStyle w:val="Compact"/>
            </w:pPr>
          </w:p>
        </w:tc>
        <w:tc>
          <w:tcPr/>
          <w:p>
            <w:pPr>
              <w:pStyle w:val="Compact"/>
              <w:jc w:val="left"/>
            </w:pPr>
            <w:r>
              <w:t xml:space="preserve">19.626</w:t>
            </w:r>
          </w:p>
        </w:tc>
      </w:tr>
    </w:tbl>
    <w:p>
      <w:pPr>
        <w:pStyle w:val="BodyText"/>
      </w:pPr>
      <w:r>
        <w:t xml:space="preserve">The total Product Carbon Footprint for one functional unit of Smart Widget Pro is calculated to be approximately</w:t>
      </w:r>
      <w:r>
        <w:t xml:space="preserve"> </w:t>
      </w:r>
      <w:r>
        <w:rPr>
          <w:bCs/>
          <w:b/>
        </w:rPr>
        <w:t xml:space="preserve">19.63 kg CO2e</w:t>
      </w:r>
      <w:r>
        <w:t xml:space="preserve">.</w:t>
      </w:r>
    </w:p>
    <w:bookmarkEnd w:id="46"/>
    <w:bookmarkStart w:id="47" w:name="ghg-protocol-updates-scope-3-compliance"/>
    <w:p>
      <w:pPr>
        <w:pStyle w:val="Heading3"/>
      </w:pPr>
      <w:r>
        <w:t xml:space="preserve">4.5. 2026 GHG Protocol Updates &amp; Scope 3 Compliance</w:t>
      </w:r>
    </w:p>
    <w:p>
      <w:pPr>
        <w:numPr>
          <w:ilvl w:val="0"/>
          <w:numId w:val="1017"/>
        </w:numPr>
        <w:pStyle w:val="Compact"/>
      </w:pPr>
      <w:r>
        <w:rPr>
          <w:bCs/>
          <w:b/>
        </w:rPr>
        <w:t xml:space="preserve">95% Completeness Rule:</w:t>
      </w:r>
      <w:r>
        <w:t xml:space="preserve"> </w:t>
      </w:r>
      <w:r>
        <w:t xml:space="preserve">This analysis aims to meet the proposed 2026 GHG Protocol requirement for at least 95% coverage of total required Scope 3 emissions. The detailed BOM, transport, use phase, and EoL data ensure a comprehensive capture of the value chain\'s footprint, minimizing exclusions to well below the 5% threshold.</w:t>
      </w:r>
    </w:p>
    <w:p>
      <w:pPr>
        <w:numPr>
          <w:ilvl w:val="0"/>
          <w:numId w:val="1017"/>
        </w:numPr>
        <w:pStyle w:val="Compact"/>
      </w:pPr>
      <w:r>
        <w:rPr>
          <w:bCs/>
          <w:b/>
        </w:rPr>
        <w:t xml:space="preserve">Land Sector and Removals (LSR) Standard:</w:t>
      </w:r>
      <w:r>
        <w:t xml:space="preserve"> </w:t>
      </w:r>
      <w:r>
        <w:t xml:space="preserve">For the Smart Widget Pro, direct land use change emissions or explicit carbon removals are not identified as significant drivers within its direct value chain. However, the indirect impacts from bio-based materials (e.g., cardboard) are embedded within the emission factors used, aligning with the principles of the LSR Standard by acknowledging land-related impacts.</w:t>
      </w:r>
    </w:p>
    <w:p>
      <w:pPr>
        <w:numPr>
          <w:ilvl w:val="0"/>
          <w:numId w:val="1017"/>
        </w:numPr>
        <w:pStyle w:val="Compact"/>
      </w:pPr>
      <w:r>
        <w:rPr>
          <w:bCs/>
          <w:b/>
        </w:rPr>
        <w:t xml:space="preserve">Data Disaggregation:</w:t>
      </w:r>
      <w:r>
        <w:t xml:space="preserve"> </w:t>
      </w:r>
      <w:r>
        <w:t xml:space="preserve">This report disaggregates emissions by key lifecycle stages and GHG Protocol categories, allowing for transparency regarding data sources (primary BOM data vs. secondary industry average emission factors).</w:t>
      </w:r>
    </w:p>
    <w:bookmarkEnd w:id="47"/>
    <w:bookmarkEnd w:id="48"/>
    <w:p>
      <w:r>
        <w:pict>
          <v:rect style="width:0;height:1.5pt" o:hralign="center" o:hrstd="t" o:hr="t"/>
        </w:pict>
      </w:r>
    </w:p>
    <w:bookmarkStart w:id="51" w:name="review-report"/>
    <w:p>
      <w:pPr>
        <w:pStyle w:val="Heading2"/>
      </w:pPr>
      <w:r>
        <w:t xml:space="preserve">5. Review &amp; Report</w:t>
      </w:r>
    </w:p>
    <w:bookmarkStart w:id="49" w:name="hotspot-analysis"/>
    <w:p>
      <w:pPr>
        <w:pStyle w:val="Heading3"/>
      </w:pPr>
      <w:r>
        <w:t xml:space="preserve">5.1. Hotspot Analysis</w:t>
      </w:r>
    </w:p>
    <w:p>
      <w:pPr>
        <w:pStyle w:val="FirstParagraph"/>
      </w:pPr>
      <w:r>
        <w:t xml:space="preserve">The breakdown of the PCF reveals the following emission hotspots for the Smart Widget Pro:</w:t>
      </w:r>
    </w:p>
    <w:p>
      <w:pPr>
        <w:numPr>
          <w:ilvl w:val="0"/>
          <w:numId w:val="1018"/>
        </w:numPr>
        <w:pStyle w:val="Compact"/>
      </w:pPr>
      <w:r>
        <w:rPr>
          <w:bCs/>
          <w:b/>
        </w:rPr>
        <w:t xml:space="preserve">Use Phase (90.9%):</w:t>
      </w:r>
      <w:r>
        <w:t xml:space="preserve"> </w:t>
      </w:r>
      <w:r>
        <w:t xml:space="preserve">The vast majority of the product\'s carbon footprint (17.85 kg CO2e out of 19.63 kg CO2e) occurs during the use phase, primarily due to electricity consumption over its 5-year lifespan. This highlights the significant impact of the energy source and consumption pattern during product operation.</w:t>
      </w:r>
    </w:p>
    <w:p>
      <w:pPr>
        <w:numPr>
          <w:ilvl w:val="0"/>
          <w:numId w:val="1018"/>
        </w:numPr>
        <w:pStyle w:val="Compact"/>
      </w:pPr>
      <w:r>
        <w:rPr>
          <w:bCs/>
          <w:b/>
        </w:rPr>
        <w:t xml:space="preserve">Material Acquisition &amp; Pre-processing (12.9%):</w:t>
      </w:r>
      <w:r>
        <w:t xml:space="preserve"> </w:t>
      </w:r>
      <w:r>
        <w:t xml:space="preserve">The production of materials, particularly metals (steel, aluminum) and plastics, contributes a substantial portion (2.54 kg CO2e).</w:t>
      </w:r>
    </w:p>
    <w:p>
      <w:pPr>
        <w:numPr>
          <w:ilvl w:val="0"/>
          <w:numId w:val="1018"/>
        </w:numPr>
        <w:pStyle w:val="Compact"/>
      </w:pPr>
      <w:r>
        <w:rPr>
          <w:bCs/>
          <w:b/>
        </w:rPr>
        <w:t xml:space="preserve">Manufacturing (1.0%):</w:t>
      </w:r>
      <w:r>
        <w:t xml:space="preserve"> </w:t>
      </w:r>
      <w:r>
        <w:t xml:space="preserve">Manufacturing at the factory gate, especially with 60% renewable energy use, contributes a relatively small portion.</w:t>
      </w:r>
    </w:p>
    <w:p>
      <w:pPr>
        <w:numPr>
          <w:ilvl w:val="0"/>
          <w:numId w:val="1018"/>
        </w:numPr>
        <w:pStyle w:val="Compact"/>
      </w:pPr>
      <w:r>
        <w:rPr>
          <w:bCs/>
          <w:b/>
        </w:rPr>
        <w:t xml:space="preserve">Transportation (1.8%):</w:t>
      </w:r>
      <w:r>
        <w:t xml:space="preserve"> </w:t>
      </w:r>
      <w:r>
        <w:t xml:space="preserve">Both upstream and downstream transportation represent a minor contribution to the overall PCF.</w:t>
      </w:r>
    </w:p>
    <w:p>
      <w:pPr>
        <w:numPr>
          <w:ilvl w:val="0"/>
          <w:numId w:val="1018"/>
        </w:numPr>
        <w:pStyle w:val="Compact"/>
      </w:pPr>
      <w:r>
        <w:rPr>
          <w:bCs/>
          <w:b/>
        </w:rPr>
        <w:t xml:space="preserve">End-of-Life (-6.7%):</w:t>
      </w:r>
      <w:r>
        <w:t xml:space="preserve"> </w:t>
      </w:r>
      <w:r>
        <w:t xml:space="preserve">The high recyclability and circular programs result in a net carbon benefit, significantly offsetting other stages.</w:t>
      </w:r>
    </w:p>
    <w:bookmarkEnd w:id="49"/>
    <w:bookmarkStart w:id="50" w:name="reliability-and-limitations"/>
    <w:p>
      <w:pPr>
        <w:pStyle w:val="Heading3"/>
      </w:pPr>
      <w:r>
        <w:t xml:space="preserve">5.2. Reliability and Limitations</w:t>
      </w:r>
    </w:p>
    <w:p>
      <w:pPr>
        <w:pStyle w:val="FirstParagraph"/>
      </w:pPr>
      <w:r>
        <w:t xml:space="preserve">The reliability of this PCF analysis is high due to the use of detailed primary BOM data and specific operational parameters. However, certain limitations apply:</w:t>
      </w:r>
    </w:p>
    <w:p>
      <w:pPr>
        <w:numPr>
          <w:ilvl w:val="0"/>
          <w:numId w:val="1019"/>
        </w:numPr>
        <w:pStyle w:val="Compact"/>
      </w:pPr>
      <w:r>
        <w:rPr>
          <w:bCs/>
          <w:b/>
        </w:rPr>
        <w:t xml:space="preserve">Emission Factors:</w:t>
      </w:r>
      <w:r>
        <w:t xml:space="preserve"> </w:t>
      </w:r>
      <w:r>
        <w:t xml:space="preserve">While industry-standard emission factors (e.g., from Ecoinvent/DEFRA principles) have been used, average factors for electricity grids and transport modes may not perfectly reflect real-world variability or specific supplier data if not explicitly provided.</w:t>
      </w:r>
    </w:p>
    <w:p>
      <w:pPr>
        <w:numPr>
          <w:ilvl w:val="0"/>
          <w:numId w:val="1019"/>
        </w:numPr>
        <w:pStyle w:val="Compact"/>
      </w:pPr>
      <w:r>
        <w:rPr>
          <w:bCs/>
          <w:b/>
        </w:rPr>
        <w:t xml:space="preserve">Placeholder Assumptions:</w:t>
      </w:r>
      <w:r>
        <w:t xml:space="preserve"> </w:t>
      </w:r>
      <w:r>
        <w:t xml:space="preserve">Generic assumptions were made for "Select Mode" and "Delivery Type" due to the placeholder nature of the input parameters, potentially impacting transport accuracy.</w:t>
      </w:r>
    </w:p>
    <w:p>
      <w:pPr>
        <w:numPr>
          <w:ilvl w:val="0"/>
          <w:numId w:val="1019"/>
        </w:numPr>
        <w:pStyle w:val="Compact"/>
      </w:pPr>
      <w:r>
        <w:rPr>
          <w:bCs/>
          <w:b/>
        </w:rPr>
        <w:t xml:space="preserve">End-of-Life Modeling:</w:t>
      </w:r>
      <w:r>
        <w:t xml:space="preserve"> </w:t>
      </w:r>
      <w:r>
        <w:t xml:space="preserve">The EoL credit for recycling is based on an assumed avoidance rate (70%), which can vary based on actual recycling processes and market conditions.</w:t>
      </w:r>
    </w:p>
    <w:bookmarkEnd w:id="50"/>
    <w:bookmarkEnd w:id="51"/>
    <w:p>
      <w:r>
        <w:pict>
          <v:rect style="width:0;height:1.5pt" o:hralign="center" o:hrstd="t" o:hr="t"/>
        </w:pict>
      </w:r>
    </w:p>
    <w:bookmarkStart w:id="52" w:name="recommendations-for-decarbonization"/>
    <w:p>
      <w:pPr>
        <w:pStyle w:val="Heading2"/>
      </w:pPr>
      <w:r>
        <w:t xml:space="preserve">6. Recommendations for Decarbonization</w:t>
      </w:r>
    </w:p>
    <w:p>
      <w:pPr>
        <w:pStyle w:val="FirstParagraph"/>
      </w:pPr>
      <w:r>
        <w:t xml:space="preserve">Based on the identified hotspots, Innovate Eco Solutions Inc. should focus on the following areas to reduce the carbon footprint of the Smart Widget Pro:</w:t>
      </w:r>
    </w:p>
    <w:p>
      <w:pPr>
        <w:numPr>
          <w:ilvl w:val="0"/>
          <w:numId w:val="1020"/>
        </w:numPr>
        <w:pStyle w:val="Compact"/>
      </w:pPr>
      <w:r>
        <w:rPr>
          <w:bCs/>
          <w:b/>
        </w:rPr>
        <w:t xml:space="preserve">Optimize Use Phase Energy Efficiency:</w:t>
      </w:r>
    </w:p>
    <w:p>
      <w:pPr>
        <w:numPr>
          <w:ilvl w:val="1"/>
          <w:numId w:val="1021"/>
        </w:numPr>
        <w:pStyle w:val="Compact"/>
      </w:pPr>
      <w:r>
        <w:t xml:space="preserve">Prioritize redesign for ultra-low power consumption to minimize energy demand during the product\'s lifespan.</w:t>
      </w:r>
    </w:p>
    <w:p>
      <w:pPr>
        <w:numPr>
          <w:ilvl w:val="1"/>
          <w:numId w:val="1021"/>
        </w:numPr>
        <w:pStyle w:val="Compact"/>
      </w:pPr>
      <w:r>
        <w:t xml:space="preserve">Explore integration with smart energy management systems that optimize energy use based on user patterns or grid availability.</w:t>
      </w:r>
    </w:p>
    <w:p>
      <w:pPr>
        <w:numPr>
          <w:ilvl w:val="1"/>
          <w:numId w:val="1021"/>
        </w:numPr>
        <w:pStyle w:val="Compact"/>
      </w:pPr>
      <w:r>
        <w:t xml:space="preserve">Investigate product-as-a-service models that incentivize efficient use and extend product life.</w:t>
      </w:r>
    </w:p>
    <w:p>
      <w:pPr>
        <w:numPr>
          <w:ilvl w:val="0"/>
          <w:numId w:val="1020"/>
        </w:numPr>
        <w:pStyle w:val="Compact"/>
      </w:pPr>
      <w:r>
        <w:rPr>
          <w:bCs/>
          <w:b/>
        </w:rPr>
        <w:t xml:space="preserve">Enhance Material Circularity:</w:t>
      </w:r>
    </w:p>
    <w:p>
      <w:pPr>
        <w:numPr>
          <w:ilvl w:val="1"/>
          <w:numId w:val="1022"/>
        </w:numPr>
        <w:pStyle w:val="Compact"/>
      </w:pPr>
      <w:r>
        <w:t xml:space="preserve">Deepen engagement with the comprehensive product take-back program to maximize material recovery and ensure high-quality recycling processes.</w:t>
      </w:r>
    </w:p>
    <w:p>
      <w:pPr>
        <w:numPr>
          <w:ilvl w:val="1"/>
          <w:numId w:val="1022"/>
        </w:numPr>
        <w:pStyle w:val="Compact"/>
      </w:pPr>
      <w:r>
        <w:t xml:space="preserve">Investigate the use of recycled content in new products to reduce reliance on virgin materials.</w:t>
      </w:r>
    </w:p>
    <w:p>
      <w:pPr>
        <w:numPr>
          <w:ilvl w:val="1"/>
          <w:numId w:val="1022"/>
        </w:numPr>
        <w:pStyle w:val="Compact"/>
      </w:pPr>
      <w:r>
        <w:t xml:space="preserve">Explore material substitutions with lower inherent carbon footprints where performance allows.</w:t>
      </w:r>
    </w:p>
    <w:p>
      <w:pPr>
        <w:numPr>
          <w:ilvl w:val="0"/>
          <w:numId w:val="1020"/>
        </w:numPr>
        <w:pStyle w:val="Compact"/>
      </w:pPr>
      <w:r>
        <w:rPr>
          <w:bCs/>
          <w:b/>
        </w:rPr>
        <w:t xml:space="preserve">Improve Supply Chain Transparency and Efficiency:</w:t>
      </w:r>
    </w:p>
    <w:p>
      <w:pPr>
        <w:numPr>
          <w:ilvl w:val="1"/>
          <w:numId w:val="1023"/>
        </w:numPr>
        <w:pStyle w:val="Compact"/>
      </w:pPr>
      <w:r>
        <w:t xml:space="preserve">Work with suppliers to collect primary emissions data for materials and components, moving beyond average emission factors.</w:t>
      </w:r>
    </w:p>
    <w:p>
      <w:pPr>
        <w:numPr>
          <w:ilvl w:val="1"/>
          <w:numId w:val="1023"/>
        </w:numPr>
        <w:pStyle w:val="Compact"/>
      </w:pPr>
      <w:r>
        <w:t xml:space="preserve">Optimize logistics by exploring more carbon-efficient transport modes (e.g., rail, sea freight where feasible) for the primary transport leg.</w:t>
      </w:r>
    </w:p>
    <w:p>
      <w:pPr>
        <w:numPr>
          <w:ilvl w:val="1"/>
          <w:numId w:val="1023"/>
        </w:numPr>
        <w:pStyle w:val="Compact"/>
      </w:pPr>
      <w:r>
        <w:t xml:space="preserve">Collaborate with last-mile delivery partners to explore electrification of fleets or optimized routing.</w:t>
      </w:r>
    </w:p>
    <w:p>
      <w:pPr>
        <w:numPr>
          <w:ilvl w:val="0"/>
          <w:numId w:val="1020"/>
        </w:numPr>
        <w:pStyle w:val="Compact"/>
      </w:pPr>
      <w:r>
        <w:rPr>
          <w:bCs/>
          <w:b/>
        </w:rPr>
        <w:t xml:space="preserve">Leverage Renewable Energy:</w:t>
      </w:r>
    </w:p>
    <w:p>
      <w:pPr>
        <w:numPr>
          <w:ilvl w:val="1"/>
          <w:numId w:val="1024"/>
        </w:numPr>
        <w:pStyle w:val="Compact"/>
      </w:pPr>
      <w:r>
        <w:t xml:space="preserve">Continue to increase the share of renewable energy in manufacturing operations, and engage with suppliers to encourage their transition to renewable electricity.</w:t>
      </w:r>
    </w:p>
    <w:bookmarkEnd w:id="52"/>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Widget Pro</dc:title>
  <dc:creator/>
  <dc:description>High-detail Product Carbon Footprint (PCF) analysis report for Smart Widget Pro by Innovate Eco Solutions Inc., following GHG Protocol standards and 2026 updates.</dc:description>
  <dc:language>en</dc:language>
  <cp:keywords/>
  <dcterms:created xsi:type="dcterms:W3CDTF">2026-05-30T12:39:57Z</dcterms:created>
  <dcterms:modified xsi:type="dcterms:W3CDTF">2026-05-30T12:39:57Z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