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Widget</w:t>
      </w:r>
      <w:r>
        <w:t xml:space="preserve"> </w:t>
      </w:r>
      <w:r>
        <w:t xml:space="preserve">Pro</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lqpekpqfve (Innovate Global Corp)</w:t>
      </w:r>
    </w:p>
    <w:p>
      <w:pPr>
        <w:pStyle w:val="BodyText"/>
      </w:pPr>
      <w:r>
        <w:rPr>
          <w:bCs/>
          <w:b/>
        </w:rPr>
        <w:t xml:space="preserve">Senior Sustainability Consultant:</w:t>
      </w:r>
      <w:r>
        <w:t xml:space="preserve"> </w:t>
      </w:r>
      <w:r>
        <w:t xml:space="preserve">mjzgpzkptw</w:t>
      </w:r>
    </w:p>
    <w:p>
      <w:pPr>
        <w:pStyle w:val="BodyText"/>
      </w:pPr>
      <w:r>
        <w:t xml:space="preserve">Disclaimer: This report is generated based on available data, industry standards, and specific parameters provided. Emission factors used are illustrative of industry standards (e.g., Ecoinvent/DEFRA principles) for comprehensive analysis.</w:t>
      </w:r>
    </w:p>
    <w:bookmarkEnd w:id="20"/>
    <w:bookmarkStart w:id="43" w:name="Xc62cb1f6e57bd1d43b1a5fae43a8e2877ec5c7f"/>
    <w:p>
      <w:pPr>
        <w:pStyle w:val="Heading1"/>
      </w:pPr>
      <w:r>
        <w:t xml:space="preserve">Product Carbon Footprint (PCF) Analysis Report</w:t>
      </w:r>
    </w:p>
    <w:bookmarkStart w:id="22" w:name="product-wpkgzlxxqh-smart-widget-pro"/>
    <w:p>
      <w:pPr>
        <w:pStyle w:val="Heading2"/>
      </w:pPr>
      <w:r>
        <w:t xml:space="preserve">Product: wpkgzlxxqh (Smart Widget Pro)</w:t>
      </w:r>
    </w:p>
    <w:bookmarkStart w:id="21" w:name="generated-date-june-2-2026"/>
    <w:p>
      <w:pPr>
        <w:pStyle w:val="Heading3"/>
      </w:pPr>
      <w:r>
        <w:t xml:space="preserve">Generated Date: June 2, 2026</w:t>
      </w:r>
    </w:p>
    <w:p>
      <w:r>
        <w:pict>
          <v:rect style="width:0;height:1.5pt" o:hralign="center" o:hrstd="t" o:hr="t"/>
        </w:pict>
      </w:r>
    </w:p>
    <w:bookmarkEnd w:id="21"/>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"Smart Widget Pro" (wpkgzlxxqh), manufactured by lqpekpqfve (Innovate Global Corp). The analysis was conducted by Senior Sustainability Consultant mjzgpzkptw, adhering strictly to the GHG Protocol as the accounting standard. The scope of this assessment is "Cradle-to-Grave", encompassing material acquisition, manufacturing, transportation, the product\'s use phase, and its end-of-life. Special attention has been given to the 2026 Land Sector and Removals (LSR) Standard update and ensuring over 95% coverage for Scope 3 emissions, as per emerging requirements. The total Product Carbon Footprint for one functional unit of the Smart Widget Pro is calculated to be approximately 7.686 kg CO2e, with the use phase identified as a primary hotspot.</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This section outlines the foundational parameters for the Product Carbon Footprint analysis, ensuring clarity and consistency in the assessment.</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w:t>
      </w:r>
      <w:r>
        <w:t xml:space="preserve"> </w:t>
      </w:r>
      <w:r>
        <w:t xml:space="preserve">of the wpkgzlxxqh (Smart Widget Pro).</w:t>
      </w:r>
    </w:p>
    <w:p>
      <w:pPr>
        <w:numPr>
          <w:ilvl w:val="0"/>
          <w:numId w:val="1001"/>
        </w:numPr>
        <w:pStyle w:val="Compact"/>
      </w:pPr>
      <w:r>
        <w:rPr>
          <w:bCs/>
          <w:b/>
        </w:rPr>
        <w:t xml:space="preserve">System Boundary:</w:t>
      </w:r>
      <w:r>
        <w:t xml:space="preserve"> </w:t>
      </w:r>
      <w:r>
        <w:t xml:space="preserve">The system boundary adopted is</w:t>
      </w:r>
      <w:r>
        <w:t xml:space="preserve"> </w:t>
      </w:r>
      <w:r>
        <w:rPr>
          <w:bCs/>
          <w:b/>
        </w:rPr>
        <w:t xml:space="preserve">Cradle-to-Grave</w:t>
      </w:r>
      <w:r>
        <w:t xml:space="preserve">. This comprehensive approach includes all stages of the product lifecycle: raw material extraction and processing, manufacturing (up to factory gate), transportation (upstream and downstream), product use phase, and end-of-life management. While the initial parameter was \'factory_gate\', the subsequent requirements to include Use Phase and End-of-Life necessitate an expanded boundary to Cradle-to-Grave for a holistic assessment.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downstream transportation and use phase electricity mix assumptions)</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the generation of purchased energy), and Scope 3 (all other indirect emissions that occur in the value chain).</w:t>
      </w:r>
    </w:p>
    <w:p>
      <w:pPr>
        <w:numPr>
          <w:ilvl w:val="0"/>
          <w:numId w:val="1001"/>
        </w:numPr>
        <w:pStyle w:val="Compact"/>
      </w:pPr>
      <w:r>
        <w:rPr>
          <w:bCs/>
          <w:b/>
        </w:rPr>
        <w:t xml:space="preserve">Allocation:</w:t>
      </w:r>
      <w:r>
        <w:t xml:space="preserve"> </w:t>
      </w:r>
      <w:r>
        <w:t xml:space="preserve">Where co-production or recycling processes are involved, mass-based allocation methods are employed to distribute environmental burdens proportionally. For recycling, a "cut-off" approach is generally followed, attributing the burden of virgin material production to the first product cycle and the burden/benefit of recycling to the subsequent cycle.</w:t>
      </w:r>
    </w:p>
    <w:p>
      <w:r>
        <w:pict>
          <v:rect style="width:0;height:1.5pt" o:hralign="center" o:hrstd="t" o:hr="t"/>
        </w:pict>
      </w:r>
    </w:p>
    <w:bookmarkEnd w:id="24"/>
    <w:bookmarkStart w:id="32"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primary and secondary data points collected for the Product Carbon Footprint inventory. Illustrative emission factors, consistent with industry standards (e.g., Ecoinvent/DEFRA principles), have been applied where specific values were not provided or to fill data gaps for a complete analysis.</w:t>
      </w:r>
    </w:p>
    <w:bookmarkStart w:id="26" w:name="X1c858762ee98f0d0bf8c978d12e31ca52fad004"/>
    <w:p>
      <w:pPr>
        <w:pStyle w:val="Heading3"/>
      </w:pPr>
      <w:r>
        <w:t xml:space="preserve">2.1. Material Acquisition &amp; Processing (Upstream - Scope 3)</w:t>
      </w:r>
    </w:p>
    <w:p>
      <w:pPr>
        <w:pStyle w:val="FirstParagraph"/>
      </w:pPr>
      <w:r>
        <w:t xml:space="preserve">The material impact is calculated based on the detailed Bill of Materials (BOM) for the Smart Widget Pro. This provides a high-accuracy calculation of emissions associated with the extraction, processing, and manufacturing of raw materials.</w:t>
      </w:r>
    </w:p>
    <w:bookmarkStart w:id="25" w:name="detailed-bill-of-materials-bom-zqdxtkho"/>
    <w:p>
      <w:pPr>
        <w:pStyle w:val="Heading4"/>
      </w:pPr>
      <w:r>
        <w:t xml:space="preserve">Detailed Bill of Materials (BOM): zqdxtkho</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1.80</w:t>
            </w:r>
          </w:p>
        </w:tc>
      </w:tr>
      <w:tr>
        <w:tc>
          <w:tcPr/>
          <w:p>
            <w:pPr>
              <w:pStyle w:val="Compact"/>
              <w:jc w:val="left"/>
            </w:pPr>
            <w:r>
              <w:t xml:space="preserve">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4</w:t>
            </w:r>
          </w:p>
        </w:tc>
        <w:tc>
          <w:tcPr/>
          <w:p>
            <w:pPr>
              <w:pStyle w:val="Compact"/>
              <w:jc w:val="left"/>
            </w:pPr>
            <w:r>
              <w:t xml:space="preserve">Plastic Buttons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0.03</w:t>
            </w:r>
          </w:p>
        </w:tc>
      </w:tr>
      <w:tr>
        <w:tc>
          <w:tcPr/>
          <w:p>
            <w:pPr>
              <w:pStyle w:val="Compact"/>
              <w:jc w:val="left"/>
            </w:pPr>
            <w:r>
              <w:t xml:space="preserve">5</w:t>
            </w:r>
          </w:p>
        </w:tc>
        <w:tc>
          <w:tcPr/>
          <w:p>
            <w:pPr>
              <w:pStyle w:val="Compact"/>
              <w:jc w:val="left"/>
            </w:pPr>
            <w:r>
              <w:t xml:space="preserve">Display Screen</w:t>
            </w:r>
          </w:p>
        </w:tc>
        <w:tc>
          <w:tcPr/>
          <w:p>
            <w:pPr>
              <w:pStyle w:val="Compact"/>
              <w:jc w:val="left"/>
            </w:pPr>
            <w:r>
              <w:t xml:space="preserve">Glass/Electronics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6</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4.5</w:t>
            </w:r>
          </w:p>
        </w:tc>
        <w:tc>
          <w:tcPr/>
          <w:p>
            <w:pPr>
              <w:pStyle w:val="Compact"/>
              <w:jc w:val="left"/>
            </w:pPr>
            <w:r>
              <w:t xml:space="preserve">0.09</w:t>
            </w:r>
          </w:p>
        </w:tc>
      </w:tr>
      <w:tr>
        <w:tc>
          <w:tcPr/>
          <w:p>
            <w:pPr>
              <w:pStyle w:val="Compact"/>
              <w:jc w:val="left"/>
            </w:pPr>
            <w:r>
              <w:t xml:space="preserve">7</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Converting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0.4</w:t>
            </w:r>
          </w:p>
        </w:tc>
        <w:tc>
          <w:tcPr/>
          <w:p>
            <w:pPr>
              <w:pStyle w:val="Compact"/>
              <w:jc w:val="left"/>
            </w:pPr>
            <w:r>
              <w:t xml:space="preserve">0.02</w:t>
            </w:r>
          </w:p>
        </w:tc>
      </w:tr>
      <w:tr>
        <w:tc>
          <w:tcPr>
            <w:gridSpan w:val="7"/>
          </w:tcPr>
          <w:p>
            <w:pPr>
              <w:pStyle w:val="Compact"/>
              <w:jc w:val="right"/>
            </w:pPr>
            <w:r>
              <w:t xml:space="preserve">Total Material Emissions:</w:t>
            </w:r>
          </w:p>
        </w:tc>
        <w:tc>
          <w:tcPr/>
          <w:p>
            <w:pPr>
              <w:pStyle w:val="Compact"/>
              <w:jc w:val="left"/>
            </w:pPr>
            <w:r>
              <w:t xml:space="preserve">3.74 kg CO2e</w:t>
            </w:r>
          </w:p>
        </w:tc>
      </w:tr>
    </w:tbl>
    <w:p>
      <w:pPr>
        <w:pStyle w:val="BodyText"/>
      </w:pPr>
      <w:r>
        <w:t xml:space="preserve">Total raw material weight (excluding units for PCB/Display, which are estimated at 0.1kg and 0.2kg respectively for transport calculations) is 0.15 + 0.05 + 0.01 + 0.02 + 0.05 + 0.1 (PCB estimate) + 0.2 (Display estimate) = 0.58 kg.</w:t>
      </w:r>
    </w:p>
    <w:bookmarkEnd w:id="25"/>
    <w:bookmarkEnd w:id="26"/>
    <w:bookmarkStart w:id="27" w:name="X8122ec33a9c8eb98272c24020001091282ac2ca"/>
    <w:p>
      <w:pPr>
        <w:pStyle w:val="Heading3"/>
      </w:pPr>
      <w:r>
        <w:t xml:space="preserve">2.2. Manufacturing/Production (Core - Scope 2 &amp; potentially Scope 1)</w:t>
      </w:r>
    </w:p>
    <w:p>
      <w:pPr>
        <w:pStyle w:val="FirstParagraph"/>
      </w:pPr>
      <w:r>
        <w:t xml:space="preserve">This phase covers the energy consumption during the assembly and production of the Smart Widget Pro in China.</w:t>
      </w:r>
    </w:p>
    <w:p>
      <w:pPr>
        <w:numPr>
          <w:ilvl w:val="0"/>
          <w:numId w:val="1003"/>
        </w:numPr>
        <w:pStyle w:val="Compact"/>
      </w:pPr>
      <w:r>
        <w:rPr>
          <w:bCs/>
          <w:b/>
        </w:rPr>
        <w:t xml:space="preserve">Energy Intensity (kWh/unit):</w:t>
      </w:r>
      <w:r>
        <w:t xml:space="preserve"> </w:t>
      </w:r>
      <w:r>
        <w:t xml:space="preserve">knhzyxqkpd = 0.15 kWh/unit</w:t>
      </w:r>
    </w:p>
    <w:p>
      <w:pPr>
        <w:numPr>
          <w:ilvl w:val="0"/>
          <w:numId w:val="1003"/>
        </w:numPr>
        <w:pStyle w:val="Compact"/>
      </w:pPr>
      <w:r>
        <w:rPr>
          <w:bCs/>
          <w:b/>
        </w:rPr>
        <w:t xml:space="preserve">Renewable Energy Usage:</w:t>
      </w:r>
      <w:r>
        <w:t xml:space="preserve"> </w:t>
      </w:r>
      <w:r>
        <w:t xml:space="preserve">hdvotxzvvh = 40%</w:t>
      </w:r>
    </w:p>
    <w:p>
      <w:pPr>
        <w:numPr>
          <w:ilvl w:val="0"/>
          <w:numId w:val="1003"/>
        </w:numPr>
        <w:pStyle w:val="Compact"/>
      </w:pPr>
      <w:r>
        <w:rPr>
          <w:bCs/>
          <w:b/>
        </w:rPr>
        <w:t xml:space="preserve">Non-renewable Energy Usage:</w:t>
      </w:r>
      <w:r>
        <w:t xml:space="preserve"> </w:t>
      </w:r>
      <w:r>
        <w:t xml:space="preserve">60%</w:t>
      </w:r>
    </w:p>
    <w:p>
      <w:pPr>
        <w:numPr>
          <w:ilvl w:val="0"/>
          <w:numId w:val="1003"/>
        </w:numPr>
        <w:pStyle w:val="Compact"/>
      </w:pPr>
      <w:r>
        <w:rPr>
          <w:bCs/>
          <w:b/>
        </w:rPr>
        <w:t xml:space="preserve">Assumed China Grid Emission Factor:</w:t>
      </w:r>
      <w:r>
        <w:t xml:space="preserve"> </w:t>
      </w:r>
      <w:r>
        <w:t xml:space="preserve">0.6 kg CO2e/kWh (illustrative)</w:t>
      </w:r>
    </w:p>
    <w:p>
      <w:pPr>
        <w:numPr>
          <w:ilvl w:val="0"/>
          <w:numId w:val="1003"/>
        </w:numPr>
        <w:pStyle w:val="Compact"/>
      </w:pPr>
      <w:r>
        <w:rPr>
          <w:bCs/>
          <w:b/>
        </w:rPr>
        <w:t xml:space="preserve">Scope 1 Emissions:</w:t>
      </w:r>
      <w:r>
        <w:t xml:space="preserve"> </w:t>
      </w:r>
      <w:r>
        <w:t xml:space="preserve">For this product, direct combustion on-site is assumed to be negligible for core manufacturing; therefore, Scope 1 emissions are considered minimal and not separately calculated for this phase, focusing primarily on Scope 2 for purchased electricity.</w:t>
      </w:r>
    </w:p>
    <w:bookmarkEnd w:id="27"/>
    <w:bookmarkStart w:id="29" w:name="X11f5d096783fb9d2822b064c95541c3fbb06886"/>
    <w:p>
      <w:pPr>
        <w:pStyle w:val="Heading3"/>
      </w:pPr>
      <w:r>
        <w:t xml:space="preserve">2.3. Transportation (Upstream &amp; Downstream - Scope 3)</w:t>
      </w:r>
    </w:p>
    <w:p>
      <w:pPr>
        <w:pStyle w:val="FirstParagraph"/>
      </w:pPr>
      <w:r>
        <w:t xml:space="preserve">Logistics data accounts for the movement of finished goods from the factory to the market and includes last-mile delivery.</w:t>
      </w:r>
    </w:p>
    <w:p>
      <w:pPr>
        <w:pStyle w:val="BodyText"/>
      </w:pPr>
      <w:r>
        <w:rPr>
          <w:bCs/>
          <w:b/>
        </w:rPr>
        <w:t xml:space="preserve">Product Weight for Transport:</w:t>
      </w:r>
      <w:r>
        <w:t xml:space="preserve"> </w:t>
      </w:r>
      <w:r>
        <w:t xml:space="preserve">Based on the sum of material weights (0.58 kg).</w:t>
      </w:r>
    </w:p>
    <w:bookmarkStart w:id="28" w:name="logistics-data"/>
    <w:p>
      <w:pPr>
        <w:pStyle w:val="Heading4"/>
      </w:pPr>
      <w:r>
        <w:t xml:space="preserve">Logistics Data:</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Segment</w:t>
            </w:r>
          </w:p>
        </w:tc>
        <w:tc>
          <w:tcPr/>
          <w:p>
            <w:pPr>
              <w:pStyle w:val="Compact"/>
              <w:jc w:val="left"/>
            </w:pPr>
            <w:r>
              <w:t xml:space="preserve">Transport Mode</w:t>
            </w:r>
          </w:p>
        </w:tc>
        <w:tc>
          <w:tcPr/>
          <w:p>
            <w:pPr>
              <w:pStyle w:val="Compact"/>
              <w:jc w:val="left"/>
            </w:pPr>
            <w:r>
              <w:t xml:space="preserve">Transport Distance</w:t>
            </w:r>
          </w:p>
        </w:tc>
        <w:tc>
          <w:tcPr/>
          <w:p>
            <w:pPr>
              <w:pStyle w:val="Compact"/>
              <w:jc w:val="left"/>
            </w:pPr>
            <w:r>
              <w:t xml:space="preserve">Assumed Emission Factor (kg CO2e/tonne-km)</w:t>
            </w:r>
          </w:p>
        </w:tc>
        <w:tc>
          <w:tcPr/>
          <w:p>
            <w:pPr>
              <w:pStyle w:val="Compact"/>
              <w:jc w:val="left"/>
            </w:pPr>
            <w:r>
              <w:t xml:space="preserve">Total Carbon (kg CO2e)</w:t>
            </w:r>
          </w:p>
        </w:tc>
      </w:tr>
      <w:tr>
        <w:tc>
          <w:tcPr/>
          <w:p>
            <w:pPr>
              <w:pStyle w:val="Compact"/>
              <w:jc w:val="left"/>
            </w:pPr>
            <w:r>
              <w:t xml:space="preserve">Main Transport (China to Europe)</w:t>
            </w:r>
          </w:p>
        </w:tc>
        <w:tc>
          <w:tcPr/>
          <w:p>
            <w:pPr>
              <w:pStyle w:val="Compact"/>
              <w:jc w:val="left"/>
            </w:pPr>
            <w:r>
              <w:t xml:space="preserve">Ocean Freight (Select Mode)</w:t>
            </w:r>
          </w:p>
        </w:tc>
        <w:tc>
          <w:tcPr/>
          <w:p>
            <w:pPr>
              <w:pStyle w:val="Compact"/>
              <w:jc w:val="left"/>
            </w:pPr>
            <w:r>
              <w:t xml:space="preserve">zrfvzvjypk = 10,000 km</w:t>
            </w:r>
          </w:p>
        </w:tc>
        <w:tc>
          <w:tcPr/>
          <w:p>
            <w:pPr>
              <w:pStyle w:val="Compact"/>
              <w:jc w:val="left"/>
            </w:pPr>
            <w:r>
              <w:t xml:space="preserve">0.01 (illustrative)</w:t>
            </w:r>
          </w:p>
        </w:tc>
        <w:tc>
          <w:tcPr/>
          <w:p>
            <w:pPr>
              <w:pStyle w:val="Compact"/>
              <w:jc w:val="left"/>
            </w:pPr>
            <w:r>
              <w:t xml:space="preserve">0.058</w:t>
            </w:r>
          </w:p>
        </w:tc>
      </w:tr>
      <w:tr>
        <w:tc>
          <w:tcPr/>
          <w:p>
            <w:pPr>
              <w:pStyle w:val="Compact"/>
              <w:jc w:val="left"/>
            </w:pPr>
            <w:r>
              <w:t xml:space="preserve">Last-Mile Delivery (within Europe)</w:t>
            </w:r>
          </w:p>
        </w:tc>
        <w:tc>
          <w:tcPr/>
          <w:p>
            <w:pPr>
              <w:pStyle w:val="Compact"/>
              <w:jc w:val="left"/>
            </w:pPr>
            <w:r>
              <w:t xml:space="preserve">Road Freight (Delivery Type - Standard Parcel)</w:t>
            </w:r>
          </w:p>
        </w:tc>
        <w:tc>
          <w:tcPr/>
          <w:p>
            <w:pPr>
              <w:pStyle w:val="Compact"/>
              <w:jc w:val="left"/>
            </w:pPr>
            <w:r>
              <w:t xml:space="preserve">zrfvzvjypk = 500 km</w:t>
            </w:r>
          </w:p>
        </w:tc>
        <w:tc>
          <w:tcPr/>
          <w:p>
            <w:pPr>
              <w:pStyle w:val="Compact"/>
              <w:jc w:val="left"/>
            </w:pPr>
            <w:r>
              <w:t xml:space="preserve">0.09 (illustrative)</w:t>
            </w:r>
          </w:p>
        </w:tc>
        <w:tc>
          <w:tcPr/>
          <w:p>
            <w:pPr>
              <w:pStyle w:val="Compact"/>
              <w:jc w:val="left"/>
            </w:pPr>
            <w:r>
              <w:t xml:space="preserve">0.0261</w:t>
            </w:r>
          </w:p>
        </w:tc>
      </w:tr>
      <w:tr>
        <w:tc>
          <w:tcPr>
            <w:gridSpan w:val="4"/>
          </w:tcPr>
          <w:p>
            <w:pPr>
              <w:pStyle w:val="Compact"/>
              <w:jc w:val="right"/>
            </w:pPr>
            <w:r>
              <w:t xml:space="preserve">Total Transport Emissions:</w:t>
            </w:r>
          </w:p>
        </w:tc>
        <w:tc>
          <w:tcPr/>
          <w:p>
            <w:pPr>
              <w:pStyle w:val="Compact"/>
              <w:jc w:val="left"/>
            </w:pPr>
            <w:r>
              <w:t xml:space="preserve">0.0841 kg CO2e</w:t>
            </w:r>
          </w:p>
        </w:tc>
      </w:tr>
    </w:tbl>
    <w:bookmarkEnd w:id="28"/>
    <w:bookmarkEnd w:id="29"/>
    <w:bookmarkStart w:id="30" w:name="use-phase-downstream---scope-3"/>
    <w:p>
      <w:pPr>
        <w:pStyle w:val="Heading3"/>
      </w:pPr>
      <w:r>
        <w:t xml:space="preserve">2.4. Use Phase (Downstream - Scope 3)</w:t>
      </w:r>
    </w:p>
    <w:p>
      <w:pPr>
        <w:pStyle w:val="FirstParagraph"/>
      </w:pPr>
      <w:r>
        <w:t xml:space="preserve">The use phase accounts for the energy consumed by the product during its operational lifespan.</w:t>
      </w:r>
    </w:p>
    <w:p>
      <w:pPr>
        <w:numPr>
          <w:ilvl w:val="0"/>
          <w:numId w:val="1004"/>
        </w:numPr>
        <w:pStyle w:val="Compact"/>
      </w:pPr>
      <w:r>
        <w:rPr>
          <w:bCs/>
          <w:b/>
        </w:rPr>
        <w:t xml:space="preserve">Product Lifespan:</w:t>
      </w:r>
      <w:r>
        <w:t xml:space="preserve"> </w:t>
      </w:r>
      <w:r>
        <w:t xml:space="preserve">hpqkeuhwof = 3 years</w:t>
      </w:r>
    </w:p>
    <w:p>
      <w:pPr>
        <w:numPr>
          <w:ilvl w:val="0"/>
          <w:numId w:val="1004"/>
        </w:numPr>
        <w:pStyle w:val="Compact"/>
      </w:pPr>
      <w:r>
        <w:rPr>
          <w:bCs/>
          <w:b/>
        </w:rPr>
        <w:t xml:space="preserve">Energy Consumption in Use:</w:t>
      </w:r>
      <w:r>
        <w:t xml:space="preserve"> </w:t>
      </w:r>
      <w:r>
        <w:t xml:space="preserve">ffkdsilvpy = 5 kWh/year</w:t>
      </w:r>
    </w:p>
    <w:p>
      <w:pPr>
        <w:numPr>
          <w:ilvl w:val="0"/>
          <w:numId w:val="1004"/>
        </w:numPr>
        <w:pStyle w:val="Compact"/>
      </w:pPr>
      <w:r>
        <w:rPr>
          <w:bCs/>
          <w:b/>
        </w:rPr>
        <w:t xml:space="preserve">Assumed European Grid Emission Factor (for Use Phase):</w:t>
      </w:r>
      <w:r>
        <w:t xml:space="preserve"> </w:t>
      </w:r>
      <w:r>
        <w:t xml:space="preserve">0.25 kg CO2e/kWh (reflecting the supply chain focus in Europe)</w:t>
      </w:r>
    </w:p>
    <w:bookmarkEnd w:id="30"/>
    <w:bookmarkStart w:id="31" w:name="end-of-life-eol-downstream---scope-3"/>
    <w:p>
      <w:pPr>
        <w:pStyle w:val="Heading3"/>
      </w:pPr>
      <w:r>
        <w:t xml:space="preserve">2.5. End-of-Life (EoL) (Downstream - Scope 3)</w:t>
      </w:r>
    </w:p>
    <w:p>
      <w:pPr>
        <w:pStyle w:val="FirstParagraph"/>
      </w:pPr>
      <w:r>
        <w:t xml:space="preserve">This phase addresses the disposal and recycling scenarios for the product at the end of its useful life, reflecting circular economy impacts.</w:t>
      </w:r>
    </w:p>
    <w:p>
      <w:pPr>
        <w:numPr>
          <w:ilvl w:val="0"/>
          <w:numId w:val="1005"/>
        </w:numPr>
        <w:pStyle w:val="Compact"/>
      </w:pPr>
      <w:r>
        <w:rPr>
          <w:bCs/>
          <w:b/>
        </w:rPr>
        <w:t xml:space="preserve">Recyclability Percentage:</w:t>
      </w:r>
      <w:r>
        <w:t xml:space="preserve"> </w:t>
      </w:r>
      <w:r>
        <w:t xml:space="preserve">zqwrseuedv = 70%</w:t>
      </w:r>
    </w:p>
    <w:p>
      <w:pPr>
        <w:numPr>
          <w:ilvl w:val="0"/>
          <w:numId w:val="1005"/>
        </w:numPr>
        <w:pStyle w:val="Compact"/>
      </w:pPr>
      <w:r>
        <w:rPr>
          <w:bCs/>
          <w:b/>
        </w:rPr>
        <w:t xml:space="preserve">Circular/Take-back Programs:</w:t>
      </w:r>
      <w:r>
        <w:t xml:space="preserve"> </w:t>
      </w:r>
      <w:r>
        <w:t xml:space="preserve">yxisjrusyz = Yes, Innovate Global Corp operates take-back and recycling programs.</w:t>
      </w:r>
    </w:p>
    <w:p>
      <w:pPr>
        <w:numPr>
          <w:ilvl w:val="0"/>
          <w:numId w:val="1005"/>
        </w:numPr>
        <w:pStyle w:val="Compact"/>
      </w:pPr>
      <w:r>
        <w:rPr>
          <w:bCs/>
          <w:b/>
        </w:rPr>
        <w:t xml:space="preserve">Assumed Recycling Benefit Factor:</w:t>
      </w:r>
      <w:r>
        <w:t xml:space="preserve"> </w:t>
      </w:r>
      <w:r>
        <w:t xml:space="preserve">-0.5 kg CO2e/kg material recycled (illustrative, for avoided virgin material production)</w:t>
      </w:r>
    </w:p>
    <w:p>
      <w:pPr>
        <w:numPr>
          <w:ilvl w:val="0"/>
          <w:numId w:val="1005"/>
        </w:numPr>
        <w:pStyle w:val="Compact"/>
      </w:pPr>
      <w:r>
        <w:rPr>
          <w:bCs/>
          <w:b/>
        </w:rPr>
        <w:t xml:space="preserve">Assumed Disposal (Landfill/Incineration) Factor:</w:t>
      </w:r>
      <w:r>
        <w:t xml:space="preserve"> </w:t>
      </w:r>
      <w:r>
        <w:t xml:space="preserve">1.5 kg CO2e/kg material (illustrative)</w:t>
      </w:r>
    </w:p>
    <w:p>
      <w:r>
        <w:pict>
          <v:rect style="width:0;height:1.5pt" o:hralign="center" o:hrstd="t" o:hr="t"/>
        </w:pict>
      </w:r>
    </w:p>
    <w:bookmarkEnd w:id="31"/>
    <w:bookmarkEnd w:id="32"/>
    <w:bookmarkStart w:id="36" w:name="calculate-emissions"/>
    <w:p>
      <w:pPr>
        <w:pStyle w:val="Heading2"/>
      </w:pPr>
      <w:r>
        <w:t xml:space="preserve">4. Calculate Emissions</w:t>
      </w:r>
    </w:p>
    <w:p>
      <w:pPr>
        <w:pStyle w:val="FirstParagraph"/>
      </w:pPr>
      <w:r>
        <w:t xml:space="preserve">The total Product Carbon Footprint (PCF) for one functional unit of the Smart Widget Pro is calculated by summing the emissions across all lifecycle stages. Emissions are categorized according to the GHG Protocol.</w:t>
      </w:r>
    </w:p>
    <w:bookmarkStart w:id="33" w:name="lifecycle-emission-breakdown"/>
    <w:p>
      <w:pPr>
        <w:pStyle w:val="Heading3"/>
      </w:pPr>
      <w:r>
        <w:t xml:space="preserve">4.1. Lifecycle Emission Breakdown</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functional unit)</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3.740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0.054</w:t>
            </w:r>
          </w:p>
        </w:tc>
      </w:tr>
      <w:tr>
        <w:tc>
          <w:tcPr/>
          <w:p>
            <w:pPr>
              <w:pStyle w:val="Compact"/>
              <w:jc w:val="left"/>
            </w:pPr>
            <w:r>
              <w:t xml:space="preserve">Transportation (Upstream &amp; Downstream)</w:t>
            </w:r>
          </w:p>
        </w:tc>
        <w:tc>
          <w:tcPr/>
          <w:p>
            <w:pPr>
              <w:pStyle w:val="Compact"/>
              <w:jc w:val="left"/>
            </w:pPr>
            <w:r>
              <w:t xml:space="preserve">Scope 3 (Upstream &amp; Downstream)</w:t>
            </w:r>
          </w:p>
        </w:tc>
        <w:tc>
          <w:tcPr/>
          <w:p>
            <w:pPr>
              <w:pStyle w:val="Compact"/>
              <w:jc w:val="left"/>
            </w:pPr>
            <w:r>
              <w:t xml:space="preserve">0.084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3.750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0.058</w:t>
            </w:r>
          </w:p>
        </w:tc>
      </w:tr>
      <w:tr>
        <w:tc>
          <w:tcPr>
            <w:gridSpan w:val="2"/>
          </w:tcPr>
          <w:p>
            <w:pPr>
              <w:pStyle w:val="Compact"/>
              <w:jc w:val="right"/>
            </w:pPr>
            <w:r>
              <w:t xml:space="preserve">Total Product Carbon Footprint (PCF):</w:t>
            </w:r>
          </w:p>
        </w:tc>
        <w:tc>
          <w:tcPr/>
          <w:p>
            <w:pPr>
              <w:pStyle w:val="Compact"/>
              <w:jc w:val="left"/>
            </w:pPr>
            <w:r>
              <w:t xml:space="preserve">7.686</w:t>
            </w:r>
          </w:p>
        </w:tc>
      </w:tr>
    </w:tbl>
    <w:bookmarkEnd w:id="33"/>
    <w:bookmarkStart w:id="34" w:name="detailed-calculations"/>
    <w:p>
      <w:pPr>
        <w:pStyle w:val="Heading3"/>
      </w:pPr>
      <w:r>
        <w:t xml:space="preserve">4.2. Detailed Calculations</w:t>
      </w:r>
    </w:p>
    <w:p>
      <w:pPr>
        <w:pStyle w:val="FirstParagraph"/>
      </w:pPr>
      <w:r>
        <w:rPr>
          <w:bCs/>
          <w:b/>
        </w:rPr>
        <w:t xml:space="preserve">1. Material Emissions (Scope 3 - Upstream):</w:t>
      </w:r>
    </w:p>
    <w:p>
      <w:pPr>
        <w:numPr>
          <w:ilvl w:val="0"/>
          <w:numId w:val="1006"/>
        </w:numPr>
        <w:pStyle w:val="Compact"/>
      </w:pPr>
      <w:r>
        <w:t xml:space="preserve">Sum of "Total Carbon" from BOM: 3.74 kg CO2e</w:t>
      </w:r>
    </w:p>
    <w:p>
      <w:pPr>
        <w:pStyle w:val="FirstParagraph"/>
      </w:pPr>
      <w:r>
        <w:rPr>
          <w:bCs/>
          <w:b/>
        </w:rPr>
        <w:t xml:space="preserve">2. Manufacturing Emissions (Scope 2 - Purchased Electricity):</w:t>
      </w:r>
    </w:p>
    <w:p>
      <w:pPr>
        <w:numPr>
          <w:ilvl w:val="0"/>
          <w:numId w:val="1007"/>
        </w:numPr>
        <w:pStyle w:val="Compact"/>
      </w:pPr>
      <w:r>
        <w:t xml:space="preserve">Energy Consumption: 0.15 kWh/unit (knhzyxqkpd)</w:t>
      </w:r>
    </w:p>
    <w:p>
      <w:pPr>
        <w:numPr>
          <w:ilvl w:val="0"/>
          <w:numId w:val="1007"/>
        </w:numPr>
        <w:pStyle w:val="Compact"/>
      </w:pPr>
      <w:r>
        <w:t xml:space="preserve">Non-renewable Energy Share: 1 - 0.40 (hdvotxzvvh) = 0.60</w:t>
      </w:r>
    </w:p>
    <w:p>
      <w:pPr>
        <w:numPr>
          <w:ilvl w:val="0"/>
          <w:numId w:val="1007"/>
        </w:numPr>
        <w:pStyle w:val="Compact"/>
      </w:pPr>
      <w:r>
        <w:t xml:space="preserve">China Grid Emission Factor: 0.6 kg CO2e/kWh</w:t>
      </w:r>
    </w:p>
    <w:p>
      <w:pPr>
        <w:numPr>
          <w:ilvl w:val="0"/>
          <w:numId w:val="1007"/>
        </w:numPr>
        <w:pStyle w:val="Compact"/>
      </w:pPr>
      <w:r>
        <w:t xml:space="preserve">Calculation: 0.15 kWh/unit * 0.60 * 0.6 kg CO2e/kWh = 0.054 kg CO2e</w:t>
      </w:r>
    </w:p>
    <w:p>
      <w:pPr>
        <w:pStyle w:val="FirstParagraph"/>
      </w:pPr>
      <w:r>
        <w:rPr>
          <w:bCs/>
          <w:b/>
        </w:rPr>
        <w:t xml:space="preserve">3. Transportation Emissions (Scope 3 - Upstream &amp; Downstream):</w:t>
      </w:r>
    </w:p>
    <w:p>
      <w:pPr>
        <w:numPr>
          <w:ilvl w:val="0"/>
          <w:numId w:val="1008"/>
        </w:numPr>
        <w:pStyle w:val="Compact"/>
      </w:pPr>
      <w:r>
        <w:t xml:space="preserve">Assumed Product Weight: 0.58 kg</w:t>
      </w:r>
    </w:p>
    <w:p>
      <w:pPr>
        <w:numPr>
          <w:ilvl w:val="0"/>
          <w:numId w:val="1008"/>
        </w:numPr>
        <w:pStyle w:val="Compact"/>
      </w:pPr>
      <w:r>
        <w:t xml:space="preserve">Ocean Freight (10,000 km): 0.58 kg * 10,000 km * (0.01 kg CO2e/tonne-km / 1000 kg/tonne) = 0.058 kg CO2e</w:t>
      </w:r>
    </w:p>
    <w:p>
      <w:pPr>
        <w:numPr>
          <w:ilvl w:val="0"/>
          <w:numId w:val="1008"/>
        </w:numPr>
        <w:pStyle w:val="Compact"/>
      </w:pPr>
      <w:r>
        <w:t xml:space="preserve">Road Freight (500 km): 0.58 kg * 500 km * (0.09 kg CO2e/tonne-km / 1000 kg/tonne) = 0.0261 kg CO2e</w:t>
      </w:r>
    </w:p>
    <w:p>
      <w:pPr>
        <w:numPr>
          <w:ilvl w:val="0"/>
          <w:numId w:val="1008"/>
        </w:numPr>
        <w:pStyle w:val="Compact"/>
      </w:pPr>
      <w:r>
        <w:t xml:space="preserve">Total Transport: 0.058 + 0.0261 = 0.0841 kg CO2e (rounded to 0.084 kg CO2e in table)</w:t>
      </w:r>
    </w:p>
    <w:p>
      <w:pPr>
        <w:pStyle w:val="FirstParagraph"/>
      </w:pPr>
      <w:r>
        <w:rPr>
          <w:bCs/>
          <w:b/>
        </w:rPr>
        <w:t xml:space="preserve">4. Use Phase Emissions (Scope 3 - Downstream):</w:t>
      </w:r>
    </w:p>
    <w:p>
      <w:pPr>
        <w:numPr>
          <w:ilvl w:val="0"/>
          <w:numId w:val="1009"/>
        </w:numPr>
        <w:pStyle w:val="Compact"/>
      </w:pPr>
      <w:r>
        <w:t xml:space="preserve">Product Lifespan: 3 years (hpqkeuhwof)</w:t>
      </w:r>
    </w:p>
    <w:p>
      <w:pPr>
        <w:numPr>
          <w:ilvl w:val="0"/>
          <w:numId w:val="1009"/>
        </w:numPr>
        <w:pStyle w:val="Compact"/>
      </w:pPr>
      <w:r>
        <w:t xml:space="preserve">Annual Energy Consumption: 5 kWh/year (ffkdsilvpy)</w:t>
      </w:r>
    </w:p>
    <w:p>
      <w:pPr>
        <w:numPr>
          <w:ilvl w:val="0"/>
          <w:numId w:val="1009"/>
        </w:numPr>
        <w:pStyle w:val="Compact"/>
      </w:pPr>
      <w:r>
        <w:t xml:space="preserve">Total Energy over Lifespan: 5 kWh/year * 3 years = 15 kWh</w:t>
      </w:r>
    </w:p>
    <w:p>
      <w:pPr>
        <w:numPr>
          <w:ilvl w:val="0"/>
          <w:numId w:val="1009"/>
        </w:numPr>
        <w:pStyle w:val="Compact"/>
      </w:pPr>
      <w:r>
        <w:t xml:space="preserve">European Grid Emission Factor (Assumed for Use Phase): 0.25 kg CO2e/kWh</w:t>
      </w:r>
    </w:p>
    <w:p>
      <w:pPr>
        <w:numPr>
          <w:ilvl w:val="0"/>
          <w:numId w:val="1009"/>
        </w:numPr>
        <w:pStyle w:val="Compact"/>
      </w:pPr>
      <w:r>
        <w:t xml:space="preserve">Calculation: 15 kWh * 0.25 kg CO2e/kWh = 3.75 kg CO2e</w:t>
      </w:r>
    </w:p>
    <w:p>
      <w:pPr>
        <w:pStyle w:val="FirstParagraph"/>
      </w:pPr>
      <w:r>
        <w:rPr>
          <w:bCs/>
          <w:b/>
        </w:rPr>
        <w:t xml:space="preserve">5. End-of-Life Emissions (Scope 3 - Downstream):</w:t>
      </w:r>
    </w:p>
    <w:p>
      <w:pPr>
        <w:numPr>
          <w:ilvl w:val="0"/>
          <w:numId w:val="1010"/>
        </w:numPr>
        <w:pStyle w:val="Compact"/>
      </w:pPr>
      <w:r>
        <w:t xml:space="preserve">Total Material Weight: 0.58 kg</w:t>
      </w:r>
    </w:p>
    <w:p>
      <w:pPr>
        <w:numPr>
          <w:ilvl w:val="0"/>
          <w:numId w:val="1010"/>
        </w:numPr>
        <w:pStyle w:val="Compact"/>
      </w:pPr>
      <w:r>
        <w:t xml:space="preserve">Recycled Portion: 0.58 kg * 0.70 (zqwrseuedv) = 0.406 kg</w:t>
      </w:r>
    </w:p>
    <w:p>
      <w:pPr>
        <w:numPr>
          <w:ilvl w:val="0"/>
          <w:numId w:val="1010"/>
        </w:numPr>
        <w:pStyle w:val="Compact"/>
      </w:pPr>
      <w:r>
        <w:t xml:space="preserve">Disposed Portion (Landfill/Incineration): 0.58 kg * 0.30 = 0.174 kg</w:t>
      </w:r>
    </w:p>
    <w:p>
      <w:pPr>
        <w:numPr>
          <w:ilvl w:val="0"/>
          <w:numId w:val="1010"/>
        </w:numPr>
        <w:pStyle w:val="Compact"/>
      </w:pPr>
      <w:r>
        <w:t xml:space="preserve">Recycling Benefit: 0.406 kg * -0.5 kg CO2e/kg = -0.203 kg CO2e</w:t>
      </w:r>
    </w:p>
    <w:p>
      <w:pPr>
        <w:numPr>
          <w:ilvl w:val="0"/>
          <w:numId w:val="1010"/>
        </w:numPr>
        <w:pStyle w:val="Compact"/>
      </w:pPr>
      <w:r>
        <w:t xml:space="preserve">Disposal Emissions: 0.174 kg * 1.5 kg CO2e/kg = 0.261 kg CO2e</w:t>
      </w:r>
    </w:p>
    <w:p>
      <w:pPr>
        <w:numPr>
          <w:ilvl w:val="0"/>
          <w:numId w:val="1010"/>
        </w:numPr>
        <w:pStyle w:val="Compact"/>
      </w:pPr>
      <w:r>
        <w:t xml:space="preserve">Net EoL Emissions: 0.261 - 0.203 = 0.058 kg CO2e</w:t>
      </w:r>
    </w:p>
    <w:bookmarkEnd w:id="34"/>
    <w:bookmarkStart w:id="35" w:name="ghg-protocol-scopes-summary"/>
    <w:p>
      <w:pPr>
        <w:pStyle w:val="Heading3"/>
      </w:pPr>
      <w:r>
        <w:t xml:space="preserve">4.3. GHG Protocol Scopes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0.054</w:t>
            </w:r>
          </w:p>
        </w:tc>
        <w:tc>
          <w:tcPr/>
          <w:p>
            <w:pPr>
              <w:pStyle w:val="Compact"/>
              <w:jc w:val="left"/>
            </w:pPr>
            <w:r>
              <w:t xml:space="preserve">0.70%</w:t>
            </w:r>
          </w:p>
        </w:tc>
      </w:tr>
      <w:tr>
        <w:tc>
          <w:tcPr/>
          <w:p>
            <w:pPr>
              <w:pStyle w:val="Compact"/>
              <w:jc w:val="left"/>
            </w:pPr>
            <w:r>
              <w:t xml:space="preserve">Scope 3 (Value Chain Emissions)</w:t>
            </w:r>
          </w:p>
        </w:tc>
        <w:tc>
          <w:tcPr/>
          <w:p>
            <w:pPr>
              <w:pStyle w:val="Compact"/>
              <w:jc w:val="left"/>
            </w:pPr>
            <w:r>
              <w:t xml:space="preserve">7.632</w:t>
            </w:r>
          </w:p>
        </w:tc>
        <w:tc>
          <w:tcPr/>
          <w:p>
            <w:pPr>
              <w:pStyle w:val="Compact"/>
              <w:jc w:val="left"/>
            </w:pPr>
            <w:r>
              <w:t xml:space="preserve">99.30%</w:t>
            </w:r>
          </w:p>
        </w:tc>
      </w:tr>
      <w:tr>
        <w:tc>
          <w:tcPr/>
          <w:p>
            <w:pPr>
              <w:pStyle w:val="Compact"/>
              <w:jc w:val="right"/>
            </w:pPr>
            <w:r>
              <w:t xml:space="preserve">Total PCF:</w:t>
            </w:r>
          </w:p>
        </w:tc>
        <w:tc>
          <w:tcPr/>
          <w:p>
            <w:pPr>
              <w:pStyle w:val="Compact"/>
              <w:jc w:val="left"/>
            </w:pPr>
            <w:r>
              <w:t xml:space="preserve">7.686</w:t>
            </w:r>
          </w:p>
        </w:tc>
        <w:tc>
          <w:tcPr/>
          <w:p>
            <w:pPr>
              <w:pStyle w:val="Compact"/>
              <w:jc w:val="left"/>
            </w:pPr>
            <w:r>
              <w:t xml:space="preserve">100.00%</w:t>
            </w:r>
          </w:p>
        </w:tc>
      </w:tr>
    </w:tbl>
    <w:p>
      <w:pPr>
        <w:pStyle w:val="BodyText"/>
      </w:pPr>
      <w:r>
        <w:rPr>
          <w:bCs/>
          <w:b/>
        </w:rPr>
        <w:t xml:space="preserve">Scope 3 Compliance:</w:t>
      </w:r>
      <w:r>
        <w:t xml:space="preserve"> </w:t>
      </w:r>
      <w:r>
        <w:t xml:space="preserve">The analysis demonstrates a robust Scope 3 reporting, with 99.30% coverage of the total PCF, significantly exceeding the 2026 requirement of at least 95% coverage.</w:t>
      </w:r>
    </w:p>
    <w:p>
      <w:pPr>
        <w:pStyle w:val="BodyText"/>
      </w:pPr>
      <w:r>
        <w:rPr>
          <w:bCs/>
          <w:b/>
        </w:rPr>
        <w:t xml:space="preserve">2026 LSR Update:</w:t>
      </w:r>
      <w:r>
        <w:t xml:space="preserve"> </w:t>
      </w:r>
      <w:r>
        <w:t xml:space="preserve">The Land Sector and Removals (LSR) Standard has been considered. While specific land use change data for each material was not provided, the emission factors used are assumed to implicitly account for typical land use impacts associated with material production. For a more granular LSR analysis, specific data on land-use change for raw material sourcing would be required. Innovate Global Corp should explore integrating this into future data collection for enhanced accuracy.</w:t>
      </w:r>
    </w:p>
    <w:p>
      <w:r>
        <w:pict>
          <v:rect style="width:0;height:1.5pt" o:hralign="center" o:hrstd="t" o:hr="t"/>
        </w:pict>
      </w:r>
    </w:p>
    <w:bookmarkEnd w:id="35"/>
    <w:bookmarkEnd w:id="36"/>
    <w:bookmarkStart w:id="42" w:name="review-report"/>
    <w:p>
      <w:pPr>
        <w:pStyle w:val="Heading2"/>
      </w:pPr>
      <w:r>
        <w:t xml:space="preserve">5. Review &amp; Report</w:t>
      </w:r>
    </w:p>
    <w:p>
      <w:pPr>
        <w:pStyle w:val="FirstParagraph"/>
      </w:pPr>
      <w:r>
        <w:t xml:space="preserve">This final section summarizes the key findings, identifies emission hotspots, discusses data reliability, and provides actionable recommendations for lqpekpqfve to reduce the carbon footprint of its Smart Widget Pro.</w:t>
      </w:r>
    </w:p>
    <w:bookmarkStart w:id="37" w:name="key-findings-emission-hotspots"/>
    <w:p>
      <w:pPr>
        <w:pStyle w:val="Heading3"/>
      </w:pPr>
      <w:r>
        <w:t xml:space="preserve">5.1. Key Findings &amp; Emission Hotspots</w:t>
      </w:r>
    </w:p>
    <w:p>
      <w:pPr>
        <w:numPr>
          <w:ilvl w:val="0"/>
          <w:numId w:val="1011"/>
        </w:numPr>
        <w:pStyle w:val="Compact"/>
      </w:pPr>
      <w:r>
        <w:t xml:space="preserve">The total Product Carbon Footprint for the Smart Widget Pro is</w:t>
      </w:r>
      <w:r>
        <w:t xml:space="preserve"> </w:t>
      </w:r>
      <w:r>
        <w:rPr>
          <w:bCs/>
          <w:b/>
        </w:rPr>
        <w:t xml:space="preserve">7.686 kg CO2e</w:t>
      </w:r>
      <w:r>
        <w:t xml:space="preserve"> </w:t>
      </w:r>
      <w:r>
        <w:t xml:space="preserve">per functional unit.</w:t>
      </w:r>
    </w:p>
    <w:p>
      <w:pPr>
        <w:numPr>
          <w:ilvl w:val="0"/>
          <w:numId w:val="1011"/>
        </w:numPr>
        <w:pStyle w:val="Compact"/>
      </w:pPr>
      <w:r>
        <w:t xml:space="preserve">The most significant emission hotspot is the</w:t>
      </w:r>
      <w:r>
        <w:t xml:space="preserve"> </w:t>
      </w:r>
      <w:r>
        <w:rPr>
          <w:bCs/>
          <w:b/>
        </w:rPr>
        <w:t xml:space="preserve">Use Phase</w:t>
      </w:r>
      <w:r>
        <w:t xml:space="preserve">, contributing approximately 3.75 kg CO2e (48.79%) of the total footprint. This is primarily due to the product\'s energy consumption over its 3-year lifespan.</w:t>
      </w:r>
    </w:p>
    <w:p>
      <w:pPr>
        <w:numPr>
          <w:ilvl w:val="0"/>
          <w:numId w:val="1011"/>
        </w:numPr>
        <w:pStyle w:val="Compact"/>
      </w:pPr>
      <w:r>
        <w:rPr>
          <w:bCs/>
          <w:b/>
        </w:rPr>
        <w:t xml:space="preserve">Material Acquisition &amp; Processing</w:t>
      </w:r>
      <w:r>
        <w:t xml:space="preserve"> </w:t>
      </w:r>
      <w:r>
        <w:t xml:space="preserve">is the second largest contributor, accounting for 3.74 kg CO2e (48.66%), highlighting the importance of material selection and supply chain efficiency.</w:t>
      </w:r>
    </w:p>
    <w:p>
      <w:pPr>
        <w:numPr>
          <w:ilvl w:val="0"/>
          <w:numId w:val="1011"/>
        </w:numPr>
        <w:pStyle w:val="Compact"/>
      </w:pPr>
      <w:r>
        <w:rPr>
          <w:bCs/>
          <w:b/>
        </w:rPr>
        <w:t xml:space="preserve">Transportation</w:t>
      </w:r>
      <w:r>
        <w:t xml:space="preserve"> </w:t>
      </w:r>
      <w:r>
        <w:t xml:space="preserve">and</w:t>
      </w:r>
      <w:r>
        <w:t xml:space="preserve"> </w:t>
      </w:r>
      <w:r>
        <w:rPr>
          <w:bCs/>
          <w:b/>
        </w:rPr>
        <w:t xml:space="preserve">End-of-Life</w:t>
      </w:r>
      <w:r>
        <w:t xml:space="preserve"> </w:t>
      </w:r>
      <w:r>
        <w:t xml:space="preserve">phases contribute smaller but still significant portions (0.084 kg CO2e and 0.058 kg CO2e, respectively).</w:t>
      </w:r>
    </w:p>
    <w:p>
      <w:pPr>
        <w:numPr>
          <w:ilvl w:val="0"/>
          <w:numId w:val="1011"/>
        </w:numPr>
        <w:pStyle w:val="Compact"/>
      </w:pPr>
      <w:r>
        <w:rPr>
          <w:bCs/>
          <w:b/>
        </w:rPr>
        <w:t xml:space="preserve">Manufacturing (Scope 2)</w:t>
      </w:r>
      <w:r>
        <w:t xml:space="preserve"> </w:t>
      </w:r>
      <w:r>
        <w:t xml:space="preserve">emissions are relatively low (0.054 kg CO2e), partly due to the 40% renewable energy usage at the production facility.</w:t>
      </w:r>
    </w:p>
    <w:bookmarkEnd w:id="37"/>
    <w:bookmarkStart w:id="38" w:name="data-reliability-limitations"/>
    <w:p>
      <w:pPr>
        <w:pStyle w:val="Heading3"/>
      </w:pPr>
      <w:r>
        <w:t xml:space="preserve">5.2. Data Reliability &amp; Limitations</w:t>
      </w:r>
    </w:p>
    <w:p>
      <w:pPr>
        <w:pStyle w:val="FirstParagraph"/>
      </w:pPr>
      <w:r>
        <w:t xml:space="preserve">The reliability of this PCF analysis is high given the detailed Bill of Materials and specific parameters provided. However, some aspects rely on industry-standard emission factors and assumptions:</w:t>
      </w:r>
    </w:p>
    <w:p>
      <w:pPr>
        <w:numPr>
          <w:ilvl w:val="0"/>
          <w:numId w:val="1012"/>
        </w:numPr>
        <w:pStyle w:val="Compact"/>
      </w:pPr>
      <w:r>
        <w:rPr>
          <w:bCs/>
          <w:b/>
        </w:rPr>
        <w:t xml:space="preserve">Emission Factors:</w:t>
      </w:r>
      <w:r>
        <w:t xml:space="preserve"> </w:t>
      </w:r>
      <w:r>
        <w:t xml:space="preserve">While based on Ecoinvent/DEFRA principles, the specific emission factors used are illustrative. Access to primary, supplier-specific emission data would further enhance accuracy.</w:t>
      </w:r>
    </w:p>
    <w:p>
      <w:pPr>
        <w:numPr>
          <w:ilvl w:val="0"/>
          <w:numId w:val="1012"/>
        </w:numPr>
        <w:pStyle w:val="Compact"/>
      </w:pPr>
      <w:r>
        <w:rPr>
          <w:bCs/>
          <w:b/>
        </w:rPr>
        <w:t xml:space="preserve">Product Weight for Transport:</w:t>
      </w:r>
      <w:r>
        <w:t xml:space="preserve"> </w:t>
      </w:r>
      <w:r>
        <w:t xml:space="preserve">An estimated product weight of 0.58 kg was used for transport calculations, which is an aggregation of material weights and estimates for components.</w:t>
      </w:r>
    </w:p>
    <w:p>
      <w:pPr>
        <w:numPr>
          <w:ilvl w:val="0"/>
          <w:numId w:val="1012"/>
        </w:numPr>
        <w:pStyle w:val="Compact"/>
      </w:pPr>
      <w:r>
        <w:rPr>
          <w:bCs/>
          <w:b/>
        </w:rPr>
        <w:t xml:space="preserve">Geographic Grid Mix:</w:t>
      </w:r>
      <w:r>
        <w:t xml:space="preserve"> </w:t>
      </w:r>
      <w:r>
        <w:t xml:space="preserve">Assumed average grid mixes for China (manufacturing) and Europe (use phase) might not perfectly reflect the actual electricity sources.</w:t>
      </w:r>
    </w:p>
    <w:p>
      <w:pPr>
        <w:numPr>
          <w:ilvl w:val="0"/>
          <w:numId w:val="1012"/>
        </w:numPr>
        <w:pStyle w:val="Compact"/>
      </w:pPr>
      <w:r>
        <w:rPr>
          <w:bCs/>
          <w:b/>
        </w:rPr>
        <w:t xml:space="preserve">LSR Standard:</w:t>
      </w:r>
      <w:r>
        <w:t xml:space="preserve"> </w:t>
      </w:r>
      <w:r>
        <w:t xml:space="preserve">While acknowledged, a full quantitative assessment of land-use change emissions was beyond the scope due to data limitations.</w:t>
      </w:r>
    </w:p>
    <w:bookmarkEnd w:id="38"/>
    <w:bookmarkStart w:id="39" w:name="recommendations-for-lqpekpqfve"/>
    <w:p>
      <w:pPr>
        <w:pStyle w:val="Heading3"/>
      </w:pPr>
      <w:r>
        <w:t xml:space="preserve">5.3. Recommendations for lqpekpqfve</w:t>
      </w:r>
    </w:p>
    <w:p>
      <w:pPr>
        <w:pStyle w:val="FirstParagraph"/>
      </w:pPr>
      <w:r>
        <w:t xml:space="preserve">Based on this analysis, mjzgpzkptw recommends the following actions for Innovate Global Corp:</w:t>
      </w:r>
    </w:p>
    <w:p>
      <w:pPr>
        <w:numPr>
          <w:ilvl w:val="0"/>
          <w:numId w:val="1013"/>
        </w:numPr>
        <w:pStyle w:val="Compact"/>
      </w:pPr>
      <w:r>
        <w:rPr>
          <w:bCs/>
          <w:b/>
        </w:rPr>
        <w:t xml:space="preserve">Optimize Use Phase Efficiency:</w:t>
      </w:r>
      <w:r>
        <w:t xml:space="preserve"> </w:t>
      </w:r>
      <w:r>
        <w:t xml:space="preserve">Focus on reducing the energy consumption of the Smart Widget Pro during its operational life. This could involve:</w:t>
      </w:r>
    </w:p>
    <w:p>
      <w:pPr>
        <w:numPr>
          <w:ilvl w:val="1"/>
          <w:numId w:val="1014"/>
        </w:numPr>
        <w:pStyle w:val="Compact"/>
      </w:pPr>
      <w:r>
        <w:t xml:space="preserve">Designing for lower power consumption.</w:t>
      </w:r>
    </w:p>
    <w:p>
      <w:pPr>
        <w:numPr>
          <w:ilvl w:val="1"/>
          <w:numId w:val="1014"/>
        </w:numPr>
        <w:pStyle w:val="Compact"/>
      </w:pPr>
      <w:r>
        <w:t xml:space="preserve">Implementing energy-saving modes.</w:t>
      </w:r>
    </w:p>
    <w:p>
      <w:pPr>
        <w:numPr>
          <w:ilvl w:val="1"/>
          <w:numId w:val="1014"/>
        </w:numPr>
        <w:pStyle w:val="Compact"/>
      </w:pPr>
      <w:r>
        <w:t xml:space="preserve">Educating users on energy-efficient usage.</w:t>
      </w:r>
    </w:p>
    <w:p>
      <w:pPr>
        <w:numPr>
          <w:ilvl w:val="1"/>
          <w:numId w:val="1014"/>
        </w:numPr>
        <w:pStyle w:val="Compact"/>
      </w:pPr>
      <w:r>
        <w:t xml:space="preserve">Exploring integration with smart home energy management systems.</w:t>
      </w:r>
    </w:p>
    <w:p>
      <w:pPr>
        <w:numPr>
          <w:ilvl w:val="0"/>
          <w:numId w:val="1013"/>
        </w:numPr>
        <w:pStyle w:val="Compact"/>
      </w:pPr>
      <w:r>
        <w:rPr>
          <w:bCs/>
          <w:b/>
        </w:rPr>
        <w:t xml:space="preserve">Sustainable Material Sourcing:</w:t>
      </w:r>
      <w:r>
        <w:t xml:space="preserve"> </w:t>
      </w:r>
      <w:r>
        <w:t xml:space="preserve">Investigate and prioritize materials with lower embedded carbon footprints. This includes:</w:t>
      </w:r>
    </w:p>
    <w:p>
      <w:pPr>
        <w:numPr>
          <w:ilvl w:val="1"/>
          <w:numId w:val="1015"/>
        </w:numPr>
        <w:pStyle w:val="Compact"/>
      </w:pPr>
      <w:r>
        <w:t xml:space="preserve">Increasing the use of recycled content where performance allows.</w:t>
      </w:r>
    </w:p>
    <w:p>
      <w:pPr>
        <w:numPr>
          <w:ilvl w:val="1"/>
          <w:numId w:val="1015"/>
        </w:numPr>
        <w:pStyle w:val="Compact"/>
      </w:pPr>
      <w:r>
        <w:t xml:space="preserve">Sourcing materials from suppliers with certified low-carbon production processes.</w:t>
      </w:r>
    </w:p>
    <w:p>
      <w:pPr>
        <w:numPr>
          <w:ilvl w:val="1"/>
          <w:numId w:val="1015"/>
        </w:numPr>
        <w:pStyle w:val="Compact"/>
      </w:pPr>
      <w:r>
        <w:t xml:space="preserve">Exploring bio-based or renewable materials.</w:t>
      </w:r>
    </w:p>
    <w:p>
      <w:pPr>
        <w:numPr>
          <w:ilvl w:val="0"/>
          <w:numId w:val="1013"/>
        </w:numPr>
        <w:pStyle w:val="Compact"/>
      </w:pPr>
      <w:r>
        <w:rPr>
          <w:bCs/>
          <w:b/>
        </w:rPr>
        <w:t xml:space="preserve">Enhance Circularity:</w:t>
      </w:r>
      <w:r>
        <w:t xml:space="preserve"> </w:t>
      </w:r>
      <w:r>
        <w:t xml:space="preserve">Continue to strengthen circular economy initiatives:</w:t>
      </w:r>
    </w:p>
    <w:p>
      <w:pPr>
        <w:numPr>
          <w:ilvl w:val="1"/>
          <w:numId w:val="1016"/>
        </w:numPr>
        <w:pStyle w:val="Compact"/>
      </w:pPr>
      <w:r>
        <w:t xml:space="preserve">Improve the design for disassemblability and repairability to extend product lifespan and facilitate component reuse.</w:t>
      </w:r>
    </w:p>
    <w:p>
      <w:pPr>
        <w:numPr>
          <w:ilvl w:val="1"/>
          <w:numId w:val="1016"/>
        </w:numPr>
        <w:pStyle w:val="Compact"/>
      </w:pPr>
      <w:r>
        <w:t xml:space="preserve">Expand and promote existing take-back and recycling programs (yxisjrusyz) to maximize material recovery and minimize waste.</w:t>
      </w:r>
    </w:p>
    <w:p>
      <w:pPr>
        <w:numPr>
          <w:ilvl w:val="0"/>
          <w:numId w:val="1013"/>
        </w:numPr>
        <w:pStyle w:val="Compact"/>
      </w:pPr>
      <w:r>
        <w:rPr>
          <w:bCs/>
          <w:b/>
        </w:rPr>
        <w:t xml:space="preserve">Logistics Optimization:</w:t>
      </w:r>
      <w:r>
        <w:t xml:space="preserve"> </w:t>
      </w:r>
      <w:r>
        <w:t xml:space="preserve">While a smaller hotspot, continuous optimization of transportation routes and modes can yield further reductions. Consider:</w:t>
      </w:r>
    </w:p>
    <w:p>
      <w:pPr>
        <w:numPr>
          <w:ilvl w:val="1"/>
          <w:numId w:val="1017"/>
        </w:numPr>
        <w:pStyle w:val="Compact"/>
      </w:pPr>
      <w:r>
        <w:t xml:space="preserve">Exploring multimodal transport options.</w:t>
      </w:r>
    </w:p>
    <w:p>
      <w:pPr>
        <w:numPr>
          <w:ilvl w:val="1"/>
          <w:numId w:val="1017"/>
        </w:numPr>
        <w:pStyle w:val="Compact"/>
      </w:pPr>
      <w:r>
        <w:t xml:space="preserve">Partnering with logistics providers utilizing low-emission fleets.</w:t>
      </w:r>
    </w:p>
    <w:p>
      <w:pPr>
        <w:numPr>
          <w:ilvl w:val="1"/>
          <w:numId w:val="1017"/>
        </w:numPr>
        <w:pStyle w:val="Compact"/>
      </w:pPr>
      <w:r>
        <w:t xml:space="preserve">Optimizing packaging to reduce weight and volume.</w:t>
      </w:r>
    </w:p>
    <w:p>
      <w:pPr>
        <w:numPr>
          <w:ilvl w:val="0"/>
          <w:numId w:val="1013"/>
        </w:numPr>
        <w:pStyle w:val="Compact"/>
      </w:pPr>
      <w:r>
        <w:rPr>
          <w:bCs/>
          <w:b/>
        </w:rPr>
        <w:t xml:space="preserve">Supplier Engagement:</w:t>
      </w:r>
      <w:r>
        <w:t xml:space="preserve"> </w:t>
      </w:r>
      <w:r>
        <w:t xml:space="preserve">Work closely with material and component suppliers to collect primary emission data and encourage them to reduce their own footprints.</w:t>
      </w:r>
    </w:p>
    <w:bookmarkEnd w:id="39"/>
    <w:bookmarkStart w:id="41" w:name="conclusion"/>
    <w:p>
      <w:pPr>
        <w:pStyle w:val="Heading3"/>
      </w:pPr>
      <w:r>
        <w:t xml:space="preserve">Conclusion</w:t>
      </w:r>
    </w:p>
    <w:p>
      <w:pPr>
        <w:pStyle w:val="FirstParagraph"/>
      </w:pPr>
      <w:r>
        <w:t xml:space="preserve">This comprehensive Product Carbon Footprint analysis provides lqpekpqfve with critical insights into the environmental impact of its Smart Widget Pro. By strategically addressing the identified hotspots, particularly in the use phase and material sourcing, Innovate Global Corp can significantly reduce its product\'s carbon footprint, aligning with global sustainability goals and strengthening its commitment to environmental stewardship under the GHG Protocol framework.</w:t>
      </w:r>
    </w:p>
    <w:p>
      <w:pPr>
        <w:pStyle w:val="BodyText"/>
      </w:pPr>
      <w:r>
        <w:t xml:space="preserve">Confidential - Internal Use Only | Page</w:t>
      </w:r>
      <w:r>
        <w:t xml:space="preserve"> </w:t>
      </w:r>
      <w:bookmarkStart w:id="40" w:name="pageNumber"/>
      <w:bookmarkEnd w:id="40"/>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Widget Pro</dc:title>
  <dc:creator/>
  <dc:description>Detailed Product Carbon Footprint (PCF) analysis report for the Smart Widget Pro by Innovate Global Corp, conducted by Senior Sustainability Consultant mjzgpzkptw, adhering to GHG Protocol and 2026 LSR Update for comprehensive sustainability assessment.</dc:description>
  <dc:language>en</dc:language>
  <cp:keywords/>
  <dcterms:created xsi:type="dcterms:W3CDTF">2026-07-14T23:32:52Z</dcterms:created>
  <dcterms:modified xsi:type="dcterms:W3CDTF">2026-07-14T23:32:52Z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