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Widget</w:t>
      </w:r>
      <w:r>
        <w:t xml:space="preserve"> </w:t>
      </w:r>
      <w:r>
        <w:t xml:space="preserve">Pro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hvpwkehhjt (Smart Widget Pro)</w:t>
      </w:r>
    </w:p>
    <w:p>
      <w:pPr>
        <w:pStyle w:val="BodyText"/>
      </w:pPr>
      <w:r>
        <w:rPr>
          <w:bCs/>
          <w:b/>
        </w:rPr>
        <w:t xml:space="preserve">Company:</w:t>
      </w:r>
      <w:r>
        <w:t xml:space="preserve"> </w:t>
      </w:r>
      <w:r>
        <w:t xml:space="preserve">mfvtkisuyk (EcoSolutions Inc.)</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lduhzpuhuz (Dr. Anya Sharma)</w:t>
      </w:r>
    </w:p>
    <w:p>
      <w:pPr>
        <w:pStyle w:val="BodyText"/>
      </w:pPr>
      <w:r>
        <w:rPr>
          <w:iCs/>
          <w:i/>
        </w:rPr>
        <w:t xml:space="preserve">This report is generated based on available data and industry standards. Assumptions have been made where specific data was not provided.</w:t>
      </w:r>
    </w:p>
    <w:bookmarkEnd w:id="20"/>
    <w:p>
      <w:pPr>
        <w:pStyle w:val="BodyText"/>
      </w:pPr>
      <w:r>
        <w:t xml:space="preserve">Product Carbon Footprint Report – Generated Date: June 1, 2026</w:t>
      </w:r>
    </w:p>
    <w:bookmarkStart w:id="46" w:name="X35bafb4fa010140ac6819adbb11f340dfd232ba"/>
    <w:p>
      <w:pPr>
        <w:pStyle w:val="Heading1"/>
      </w:pPr>
      <w:r>
        <w:t xml:space="preserve">Product Carbon Footprint (PCF) Analysis Report for Smart Widget Pro</w:t>
      </w:r>
    </w:p>
    <w:p>
      <w:pPr>
        <w:pStyle w:val="FirstParagraph"/>
      </w:pPr>
      <w:r>
        <w:t xml:space="preserve">This report presents a high-detail Product Carbon Footprint (PCF) analysis for</w:t>
      </w:r>
      <w:r>
        <w:t xml:space="preserve"> </w:t>
      </w:r>
      <w:r>
        <w:rPr>
          <w:bCs/>
          <w:b/>
        </w:rPr>
        <w:t xml:space="preserve">hvpwkehhjt (Smart Widget Pro)</w:t>
      </w:r>
      <w:r>
        <w:t xml:space="preserve">, commissioned by</w:t>
      </w:r>
      <w:r>
        <w:t xml:space="preserve"> </w:t>
      </w:r>
      <w:r>
        <w:rPr>
          <w:bCs/>
          <w:b/>
        </w:rPr>
        <w:t xml:space="preserve">mfvtkisuyk (EcoSolutions Inc.)</w:t>
      </w:r>
      <w:r>
        <w:t xml:space="preserve">. The analysis was performed by</w:t>
      </w:r>
      <w:r>
        <w:t xml:space="preserve"> </w:t>
      </w:r>
      <w:r>
        <w:rPr>
          <w:bCs/>
          <w:b/>
        </w:rPr>
        <w:t xml:space="preserve">lduhzpuhuz (Dr. Anya Sharma)</w:t>
      </w:r>
      <w:r>
        <w:t xml:space="preserve">, Senior Sustainability Consultant, specializing in GHG Protocol. The primary objective is to quantify the greenhouse gas (GHG) emissions associated with the product across its lifecycle, identifying key hotspots and adhering to the</w:t>
      </w:r>
      <w:r>
        <w:t xml:space="preserve"> </w:t>
      </w:r>
      <w:r>
        <w:rPr>
          <w:bCs/>
          <w:b/>
        </w:rPr>
        <w:t xml:space="preserve">GHG Protocol</w:t>
      </w:r>
      <w:r>
        <w:t xml:space="preserve"> </w:t>
      </w:r>
      <w:r>
        <w:t xml:space="preserve">accounting standard, including considerations for the upcoming 2026 Land Sector and Removals (LSR) update.</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 the Smart Widget Pro by EcoSolutions Inc. has been calculated to be</w:t>
      </w:r>
      <w:r>
        <w:t xml:space="preserve"> </w:t>
      </w:r>
      <w:r>
        <w:rPr>
          <w:bCs/>
          <w:b/>
        </w:rPr>
        <w:t xml:space="preserve">5.06 kg CO2e per unit</w:t>
      </w:r>
      <w:r>
        <w:t xml:space="preserve"> </w:t>
      </w:r>
      <w:r>
        <w:t xml:space="preserve">over its entire lifecycle. The primary emission hotspots identified are the material acquisition and pre-processing phase (Scope 3 Upstream) and the use phase (Scope 3 Downstream). Significant efforts in recycling and circular economy programs at the End-of-Life (EoL) stage contribute to substantial avoided emissions, leading to a net negative contribution from the EoL phase. This analysis provides EcoSolutions Inc. with critical insights for identifying reduction opportunities and enhancing its sustainability strategy.</w:t>
      </w:r>
    </w:p>
    <w:p>
      <w:r>
        <w:pict>
          <v:rect style="width:0;height:1.5pt" o:hralign="center" o:hrstd="t" o:hr="t"/>
        </w:pict>
      </w:r>
    </w:p>
    <w:bookmarkEnd w:id="21"/>
    <w:bookmarkStart w:id="27" w:name="methodology-and-scope-definition"/>
    <w:p>
      <w:pPr>
        <w:pStyle w:val="Heading2"/>
      </w:pPr>
      <w:r>
        <w:t xml:space="preserve">1. Methodology and Scope Definition</w:t>
      </w:r>
    </w:p>
    <w:bookmarkStart w:id="22" w:name="accounting-standard"/>
    <w:p>
      <w:pPr>
        <w:pStyle w:val="Heading3"/>
      </w:pPr>
      <w:r>
        <w:t xml:space="preserve">1.1. Accounting Standard</w:t>
      </w:r>
    </w:p>
    <w:p>
      <w:pPr>
        <w:pStyle w:val="FirstParagraph"/>
      </w:pPr>
      <w:r>
        <w:t xml:space="preserve">This PCF analysis strictly adheres to the</w:t>
      </w:r>
      <w:r>
        <w:t xml:space="preserve"> </w:t>
      </w:r>
      <w:r>
        <w:rPr>
          <w:bCs/>
          <w:b/>
        </w:rPr>
        <w:t xml:space="preserve">GHG Protocol</w:t>
      </w:r>
      <w:r>
        <w:t xml:space="preserve"> </w:t>
      </w:r>
      <w:r>
        <w:t xml:space="preserve">standards, specifically the Product Life Cycle Accounting and Reporting Standard. Emissions are categorized into Scope 1 (direct emissions), Scope 2 (purchased energy emissions), and Scope 3 (value chain emissions) to ensure comprehensive reporting and compliance.</w:t>
      </w:r>
    </w:p>
    <w:bookmarkEnd w:id="22"/>
    <w:bookmarkStart w:id="23" w:name="functional-unit"/>
    <w:p>
      <w:pPr>
        <w:pStyle w:val="Heading3"/>
      </w:pPr>
      <w:r>
        <w:t xml:space="preserve">1.2.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hvpwkehhjt (Smart Widget Pro).</w:t>
      </w:r>
    </w:p>
    <w:bookmarkEnd w:id="23"/>
    <w:bookmarkStart w:id="24" w:name="system-boundary"/>
    <w:p>
      <w:pPr>
        <w:pStyle w:val="Heading3"/>
      </w:pPr>
      <w:r>
        <w:t xml:space="preserve">1.3. System Boundary</w:t>
      </w:r>
    </w:p>
    <w:p>
      <w:pPr>
        <w:pStyle w:val="FirstParagraph"/>
      </w:pPr>
      <w:r>
        <w:t xml:space="preserve">The system boundary for this PCF is \'</w:t>
      </w:r>
      <w:r>
        <w:rPr>
          <w:bCs/>
          <w:b/>
        </w:rPr>
        <w:t xml:space="preserve">factory_gate</w:t>
      </w:r>
      <w:r>
        <w:t xml:space="preserve">\' for direct operational control, but the overall analysis encompasses a \'cradle-to-grave\' approach, including all relevant upstream (materials, transport to factory) and downstream (distribution, use phase, end-of-life) activities, in line with the GHG Protocol Product Standard.</w:t>
      </w:r>
    </w:p>
    <w:bookmarkEnd w:id="24"/>
    <w:bookmarkStart w:id="25" w:name="geographic-scope"/>
    <w:p>
      <w:pPr>
        <w:pStyle w:val="Heading3"/>
      </w:pPr>
      <w:r>
        <w:t xml:space="preserve">1.4. Geographic Scope</w:t>
      </w:r>
    </w:p>
    <w:p>
      <w:pPr>
        <w:pStyle w:val="FirstParagraph"/>
      </w:pPr>
      <w:r>
        <w:t xml:space="preserve">The final production country for hvpwkehhjt (Smart Widget Pro) is</w:t>
      </w:r>
      <w:r>
        <w:t xml:space="preserve"> </w:t>
      </w:r>
      <w:r>
        <w:rPr>
          <w:bCs/>
          <w:b/>
        </w:rPr>
        <w:t xml:space="preserve">China</w:t>
      </w:r>
      <w:r>
        <w:t xml:space="preserve">. The supply chain focus for distribution is</w:t>
      </w:r>
      <w:r>
        <w:t xml:space="preserve"> </w:t>
      </w:r>
      <w:r>
        <w:rPr>
          <w:bCs/>
          <w:b/>
        </w:rPr>
        <w:t xml:space="preserve">Europe Focused</w:t>
      </w:r>
      <w:r>
        <w:t xml:space="preserve">, and the product\'s use phase is assumed to occur primarily within Europe. Landfill and recycling activities are assumed to occur within Europe for end-of-life calculations.</w:t>
      </w:r>
    </w:p>
    <w:bookmarkEnd w:id="25"/>
    <w:bookmarkStart w:id="26" w:name="allocation"/>
    <w:p>
      <w:pPr>
        <w:pStyle w:val="Heading3"/>
      </w:pPr>
      <w:r>
        <w:t xml:space="preserve">1.5. Allocation</w:t>
      </w:r>
    </w:p>
    <w:p>
      <w:pPr>
        <w:pStyle w:val="FirstParagraph"/>
      </w:pPr>
      <w:r>
        <w:t xml:space="preserve">Allocation of emissions for multi-product processes or shared services is performed based on mass, economic value, or other relevant physical relationships, as per GHG Protocol guidance. For this product-specific PCF, direct allocation methods are prioritized where data allows.</w:t>
      </w:r>
    </w:p>
    <w:p>
      <w:r>
        <w:pict>
          <v:rect style="width:0;height:1.5pt" o:hralign="center" o:hrstd="t" o:hr="t"/>
        </w:pict>
      </w:r>
    </w:p>
    <w:bookmarkEnd w:id="26"/>
    <w:bookmarkEnd w:id="27"/>
    <w:bookmarkStart w:id="33" w:name="mapping-lifecycle-3.-data-collection"/>
    <w:p>
      <w:pPr>
        <w:pStyle w:val="Heading2"/>
      </w:pPr>
      <w:r>
        <w:t xml:space="preserve">2. Mapping Lifecycle &amp; 3. Data Collection</w:t>
      </w:r>
    </w:p>
    <w:p>
      <w:pPr>
        <w:pStyle w:val="FirstParagraph"/>
      </w:pPr>
      <w:r>
        <w:t xml:space="preserve">The lifecycle of the Smart Widget Pro is mapped through five key stages: Material Acquisition &amp; Pre-processing, Production, Transportation, Use Phase, and End-of-Life. Data was collected from the parameters provided, supplemented by industry-standard emission factors where necessary (e.g., from Ecoinvent/DEFRA equivalents).</w:t>
      </w:r>
    </w:p>
    <w:bookmarkStart w:id="28" w:name="Xaecb0e4ae363ebf579c985784ae8eb1e2d8654d"/>
    <w:p>
      <w:pPr>
        <w:pStyle w:val="Heading3"/>
      </w:pPr>
      <w:r>
        <w:t xml:space="preserve">2.1. Detailed Bill of Materials (BOM) - qzdgelmt</w:t>
      </w:r>
    </w:p>
    <w:p>
      <w:pPr>
        <w:pStyle w:val="FirstParagraph"/>
      </w:pPr>
      <w:r>
        <w:t xml:space="preserve">The following Bill of Materials (BOM) was used to calculate the material acquisition and pre-processing impacts. The \'Total Carbon\' values provided in the BOM reflect the emissions associated with the production of each material component on a \'cradle-to-gate\' basis.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3.1</w:t>
            </w:r>
          </w:p>
        </w:tc>
        <w:tc>
          <w:tcPr/>
          <w:p>
            <w:pPr>
              <w:pStyle w:val="Compact"/>
              <w:jc w:val="left"/>
            </w:pPr>
            <w:r>
              <w:t xml:space="preserve">0.62</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0.90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Processing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0.036</w:t>
            </w:r>
          </w:p>
        </w:tc>
      </w:tr>
      <w:tr>
        <w:tc>
          <w:tcPr>
            <w:gridSpan w:val="4"/>
          </w:tcPr>
          <w:p>
            <w:pPr>
              <w:pStyle w:val="Compact"/>
              <w:jc w:val="left"/>
            </w:pPr>
            <w:r>
              <w:rPr>
                <w:bCs/>
                <w:b/>
              </w:rPr>
              <w:t xml:space="preserve">Total Product Weight</w:t>
            </w:r>
          </w:p>
        </w:tc>
        <w:tc>
          <w:tcPr/>
          <w:p>
            <w:pPr>
              <w:pStyle w:val="Compact"/>
              <w:jc w:val="left"/>
            </w:pPr>
            <w:r>
              <w:t xml:space="preserve">0.88 kg</w:t>
            </w:r>
          </w:p>
        </w:tc>
        <w:tc>
          <w:tcPr/>
          <w:p>
            <w:pPr>
              <w:pStyle w:val="Compact"/>
            </w:pPr>
          </w:p>
        </w:tc>
        <w:tc>
          <w:tcPr/>
          <w:p>
            <w:pPr>
              <w:pStyle w:val="Compact"/>
            </w:pPr>
          </w:p>
        </w:tc>
        <w:tc>
          <w:tcPr/>
          <w:p>
            <w:pPr>
              <w:pStyle w:val="Compact"/>
            </w:pPr>
          </w:p>
        </w:tc>
      </w:tr>
      <w:tr>
        <w:tc>
          <w:tcPr>
            <w:gridSpan w:val="7"/>
          </w:tcPr>
          <w:p>
            <w:pPr>
              <w:pStyle w:val="Compact"/>
              <w:jc w:val="left"/>
            </w:pPr>
            <w:r>
              <w:rPr>
                <w:bCs/>
                <w:b/>
              </w:rPr>
              <w:t xml:space="preserve">Total Material Acquisition &amp; Pre-processing Emissions (Scope 3 Upstream)</w:t>
            </w:r>
          </w:p>
        </w:tc>
        <w:tc>
          <w:tcPr/>
          <w:p>
            <w:pPr>
              <w:pStyle w:val="Compact"/>
              <w:jc w:val="left"/>
            </w:pPr>
            <w:r>
              <w:rPr>
                <w:bCs/>
                <w:b/>
              </w:rPr>
              <w:t xml:space="preserve">6.406 kg CO2e</w:t>
            </w:r>
          </w:p>
        </w:tc>
      </w:tr>
    </w:tbl>
    <w:bookmarkEnd w:id="28"/>
    <w:bookmarkStart w:id="29" w:name="production-energy-inputs"/>
    <w:p>
      <w:pPr>
        <w:pStyle w:val="Heading3"/>
      </w:pPr>
      <w:r>
        <w:t xml:space="preserve">2.2. Production Energy Inputs</w:t>
      </w:r>
    </w:p>
    <w:p>
      <w:pPr>
        <w:numPr>
          <w:ilvl w:val="0"/>
          <w:numId w:val="1001"/>
        </w:numPr>
        <w:pStyle w:val="Compact"/>
      </w:pPr>
      <w:r>
        <w:rPr>
          <w:bCs/>
          <w:b/>
        </w:rPr>
        <w:t xml:space="preserve">Renewable Energy Usage (sdqjuvqniq):</w:t>
      </w:r>
      <w:r>
        <w:t xml:space="preserve"> </w:t>
      </w:r>
      <w:r>
        <w:t xml:space="preserve">75%</w:t>
      </w:r>
    </w:p>
    <w:p>
      <w:pPr>
        <w:numPr>
          <w:ilvl w:val="0"/>
          <w:numId w:val="1001"/>
        </w:numPr>
        <w:pStyle w:val="Compact"/>
      </w:pPr>
      <w:r>
        <w:rPr>
          <w:bCs/>
          <w:b/>
        </w:rPr>
        <w:t xml:space="preserve">Energy Intensity (fkxwjqogsf):</w:t>
      </w:r>
      <w:r>
        <w:t xml:space="preserve"> </w:t>
      </w:r>
      <w:r>
        <w:t xml:space="preserve">0.08 kWh/unit</w:t>
      </w:r>
    </w:p>
    <w:p>
      <w:pPr>
        <w:numPr>
          <w:ilvl w:val="0"/>
          <w:numId w:val="1001"/>
        </w:numPr>
        <w:pStyle w:val="Compact"/>
      </w:pPr>
      <w:r>
        <w:t xml:space="preserve">For the non-renewable portion of electricity consumed in China, an average grid emission factor of 0.65 kg CO2e/kWh was applied.</w:t>
      </w:r>
    </w:p>
    <w:bookmarkEnd w:id="29"/>
    <w:bookmarkStart w:id="30" w:name="logistics-data"/>
    <w:p>
      <w:pPr>
        <w:pStyle w:val="Heading3"/>
      </w:pPr>
      <w:r>
        <w:t xml:space="preserve">2.3. Logistics Data</w:t>
      </w:r>
    </w:p>
    <w:p>
      <w:pPr>
        <w:numPr>
          <w:ilvl w:val="0"/>
          <w:numId w:val="1002"/>
        </w:numPr>
        <w:pStyle w:val="Compact"/>
      </w:pPr>
      <w:r>
        <w:rPr>
          <w:bCs/>
          <w:b/>
        </w:rPr>
        <w:t xml:space="preserve">Main Transport Mode (Select Mode):</w:t>
      </w:r>
      <w:r>
        <w:t xml:space="preserve"> </w:t>
      </w:r>
      <w:r>
        <w:t xml:space="preserve">Road Freight (HGV &gt; 16t)</w:t>
      </w:r>
    </w:p>
    <w:p>
      <w:pPr>
        <w:numPr>
          <w:ilvl w:val="0"/>
          <w:numId w:val="1002"/>
        </w:numPr>
        <w:pStyle w:val="Compact"/>
      </w:pPr>
      <w:r>
        <w:rPr>
          <w:bCs/>
          <w:b/>
        </w:rPr>
        <w:t xml:space="preserve">Main Transport Distance (uheddfjdfi):</w:t>
      </w:r>
      <w:r>
        <w:t xml:space="preserve"> </w:t>
      </w:r>
      <w:r>
        <w:t xml:space="preserve">1500 km</w:t>
      </w:r>
    </w:p>
    <w:p>
      <w:pPr>
        <w:numPr>
          <w:ilvl w:val="0"/>
          <w:numId w:val="1002"/>
        </w:numPr>
        <w:pStyle w:val="Compact"/>
      </w:pPr>
      <w:r>
        <w:rPr>
          <w:bCs/>
          <w:b/>
        </w:rPr>
        <w:t xml:space="preserve">Last-Mile Delivery Channel (Delivery Type):</w:t>
      </w:r>
      <w:r>
        <w:t xml:space="preserve"> </w:t>
      </w:r>
      <w:r>
        <w:t xml:space="preserve">Standard Parcel Post</w:t>
      </w:r>
    </w:p>
    <w:p>
      <w:pPr>
        <w:numPr>
          <w:ilvl w:val="0"/>
          <w:numId w:val="1002"/>
        </w:numPr>
        <w:pStyle w:val="Compact"/>
      </w:pPr>
      <w:r>
        <w:t xml:space="preserve">An emission factor of 0.07 kg CO2e/tonne-km was used for Road Freight (HGV &gt; 16t) for the main transport.</w:t>
      </w:r>
    </w:p>
    <w:p>
      <w:pPr>
        <w:numPr>
          <w:ilvl w:val="0"/>
          <w:numId w:val="1002"/>
        </w:numPr>
        <w:pStyle w:val="Compact"/>
      </w:pPr>
      <w:r>
        <w:t xml:space="preserve">For Last-Mile Delivery, an emission factor of 0.008 kg CO2e/kg-km was applied, assuming a typical last-mile distance of 50 km for parcel post.</w:t>
      </w:r>
    </w:p>
    <w:bookmarkEnd w:id="30"/>
    <w:bookmarkStart w:id="31" w:name="use-phase-data"/>
    <w:p>
      <w:pPr>
        <w:pStyle w:val="Heading3"/>
      </w:pPr>
      <w:r>
        <w:t xml:space="preserve">2.4. Use Phase Data</w:t>
      </w:r>
    </w:p>
    <w:p>
      <w:pPr>
        <w:numPr>
          <w:ilvl w:val="0"/>
          <w:numId w:val="1003"/>
        </w:numPr>
        <w:pStyle w:val="Compact"/>
      </w:pPr>
      <w:r>
        <w:rPr>
          <w:bCs/>
          <w:b/>
        </w:rPr>
        <w:t xml:space="preserve">Product Lifespan (prgdhsqgju):</w:t>
      </w:r>
      <w:r>
        <w:t xml:space="preserve"> </w:t>
      </w:r>
      <w:r>
        <w:t xml:space="preserve">5 years</w:t>
      </w:r>
    </w:p>
    <w:p>
      <w:pPr>
        <w:numPr>
          <w:ilvl w:val="0"/>
          <w:numId w:val="1003"/>
        </w:numPr>
        <w:pStyle w:val="Compact"/>
      </w:pPr>
      <w:r>
        <w:rPr>
          <w:bCs/>
          <w:b/>
        </w:rPr>
        <w:t xml:space="preserve">Energy Consumption in Use (udiyyvpgdq):</w:t>
      </w:r>
      <w:r>
        <w:t xml:space="preserve"> </w:t>
      </w:r>
      <w:r>
        <w:t xml:space="preserve">0.005 kWh/day</w:t>
      </w:r>
    </w:p>
    <w:p>
      <w:pPr>
        <w:numPr>
          <w:ilvl w:val="0"/>
          <w:numId w:val="1003"/>
        </w:numPr>
        <w:pStyle w:val="Compact"/>
      </w:pPr>
      <w:r>
        <w:t xml:space="preserve">For electricity consumed during the use phase (assumed within Europe), an average grid emission factor of 0.25 kg CO2e/kWh was applied.</w:t>
      </w:r>
    </w:p>
    <w:bookmarkEnd w:id="31"/>
    <w:bookmarkStart w:id="32" w:name="end-of-life-eol-data"/>
    <w:p>
      <w:pPr>
        <w:pStyle w:val="Heading3"/>
      </w:pPr>
      <w:r>
        <w:t xml:space="preserve">2.5. End-of-Life (EoL) Data</w:t>
      </w:r>
    </w:p>
    <w:p>
      <w:pPr>
        <w:numPr>
          <w:ilvl w:val="0"/>
          <w:numId w:val="1004"/>
        </w:numPr>
        <w:pStyle w:val="Compact"/>
      </w:pPr>
      <w:r>
        <w:rPr>
          <w:bCs/>
          <w:b/>
        </w:rPr>
        <w:t xml:space="preserve">Recyclability Percentage (xrmuxfordf):</w:t>
      </w:r>
      <w:r>
        <w:t xml:space="preserve"> </w:t>
      </w:r>
      <w:r>
        <w:t xml:space="preserve">80%</w:t>
      </w:r>
    </w:p>
    <w:p>
      <w:pPr>
        <w:numPr>
          <w:ilvl w:val="0"/>
          <w:numId w:val="1004"/>
        </w:numPr>
        <w:pStyle w:val="Compact"/>
      </w:pPr>
      <w:r>
        <w:rPr>
          <w:bCs/>
          <w:b/>
        </w:rPr>
        <w:t xml:space="preserve">Circular/Take-back Programs (wsokdelsyv):</w:t>
      </w:r>
      <w:r>
        <w:t xml:space="preserve"> </w:t>
      </w:r>
      <w:r>
        <w:t xml:space="preserve">Product take-back and refurbishment program</w:t>
      </w:r>
    </w:p>
    <w:p>
      <w:pPr>
        <w:numPr>
          <w:ilvl w:val="0"/>
          <w:numId w:val="1004"/>
        </w:numPr>
        <w:pStyle w:val="Compact"/>
      </w:pPr>
      <w:r>
        <w:t xml:space="preserve">For non-recycled material, a generic landfill emission factor of 0.1 kg CO2e/kg was used for calculation.</w:t>
      </w:r>
    </w:p>
    <w:p>
      <w:pPr>
        <w:numPr>
          <w:ilvl w:val="0"/>
          <w:numId w:val="1004"/>
        </w:numPr>
        <w:pStyle w:val="Compact"/>
      </w:pPr>
      <w:r>
        <w:t xml:space="preserve">A recycling credit factor of 0.8 (representing 80% avoidance of primary material emissions due to recycling) was applied to the recyclable portion.</w:t>
      </w:r>
    </w:p>
    <w:p>
      <w:r>
        <w:pict>
          <v:rect style="width:0;height:1.5pt" o:hralign="center" o:hrstd="t" o:hr="t"/>
        </w:pict>
      </w:r>
    </w:p>
    <w:bookmarkEnd w:id="32"/>
    <w:bookmarkEnd w:id="33"/>
    <w:bookmarkStart w:id="41" w:name="emission-calculation-ghg-protocol-scopes"/>
    <w:p>
      <w:pPr>
        <w:pStyle w:val="Heading2"/>
      </w:pPr>
      <w:r>
        <w:t xml:space="preserve">4. Emission Calculation (GHG Protocol Scopes)</w:t>
      </w:r>
    </w:p>
    <w:p>
      <w:pPr>
        <w:pStyle w:val="FirstParagraph"/>
      </w:pPr>
      <w:r>
        <w:t xml:space="preserve">Emissions are calculated by multiplying activity data by relevant emission factors. The total Product Carbon Footprint (PCF) for the Smart Widget Pro is</w:t>
      </w:r>
      <w:r>
        <w:t xml:space="preserve"> </w:t>
      </w:r>
      <w:r>
        <w:rPr>
          <w:bCs/>
          <w:b/>
        </w:rPr>
        <w:t xml:space="preserve">5.06 kg CO2e per unit</w:t>
      </w:r>
      <w:r>
        <w:t xml:space="preserve">.</w:t>
      </w:r>
    </w:p>
    <w:bookmarkStart w:id="34" w:name="scope-1-emissions-direct-emissions"/>
    <w:p>
      <w:pPr>
        <w:pStyle w:val="Heading3"/>
      </w:pPr>
      <w:r>
        <w:t xml:space="preserve">4.1. Scope 1 Emissions (Direct Emissions)</w:t>
      </w:r>
    </w:p>
    <w:p>
      <w:pPr>
        <w:pStyle w:val="FirstParagraph"/>
      </w:pPr>
      <w:r>
        <w:t xml:space="preserve">For the purpose of this product-level PCF, direct emissions from sources owned or controlled by EcoSolutions Inc. during the manufacturing of a single unit of Smart Widget Pro (e.g., direct fuel combustion in factory machinery) are considered negligible or already accounted for within the material \'Total Carbon\' footprint on a \'cradle-to-gate\' basis. Therefore, no separate Scope 1 emissions are quantified for this specific product analysis based on the provided parameters.</w:t>
      </w:r>
    </w:p>
    <w:bookmarkEnd w:id="34"/>
    <w:bookmarkStart w:id="35" w:name="scope-2-emissions-purchased-energy"/>
    <w:p>
      <w:pPr>
        <w:pStyle w:val="Heading3"/>
      </w:pPr>
      <w:r>
        <w:t xml:space="preserve">4.2. Scope 2 Emissions (Purchased Energy)</w:t>
      </w:r>
    </w:p>
    <w:p>
      <w:pPr>
        <w:pStyle w:val="FirstParagraph"/>
      </w:pPr>
      <w:r>
        <w:t xml:space="preserve">This category covers indirect GHG emissions from the generation of purchased electricity consumed by EcoSolutions Inc. for the production of the Smart Widget Pro in China.</w:t>
      </w:r>
    </w:p>
    <w:p>
      <w:pPr>
        <w:numPr>
          <w:ilvl w:val="0"/>
          <w:numId w:val="1005"/>
        </w:numPr>
        <w:pStyle w:val="Compact"/>
      </w:pPr>
      <w:r>
        <w:t xml:space="preserve">Total Energy for Production: 0.08 kWh/unit</w:t>
      </w:r>
    </w:p>
    <w:p>
      <w:pPr>
        <w:numPr>
          <w:ilvl w:val="0"/>
          <w:numId w:val="1005"/>
        </w:numPr>
        <w:pStyle w:val="Compact"/>
      </w:pPr>
      <w:r>
        <w:t xml:space="preserve">Renewable Energy Share: 75%</w:t>
      </w:r>
    </w:p>
    <w:p>
      <w:pPr>
        <w:numPr>
          <w:ilvl w:val="0"/>
          <w:numId w:val="1005"/>
        </w:numPr>
        <w:pStyle w:val="Compact"/>
      </w:pPr>
      <w:r>
        <w:t xml:space="preserve">Non-Renewable Energy Share: 25% (0.02 kWh/unit)</w:t>
      </w:r>
    </w:p>
    <w:p>
      <w:pPr>
        <w:numPr>
          <w:ilvl w:val="0"/>
          <w:numId w:val="1005"/>
        </w:numPr>
        <w:pStyle w:val="Compact"/>
      </w:pPr>
      <w:r>
        <w:t xml:space="preserve">Emission Factor (China Grid): 0.65 kg CO2e/kWh</w:t>
      </w:r>
    </w:p>
    <w:p>
      <w:pPr>
        <w:numPr>
          <w:ilvl w:val="0"/>
          <w:numId w:val="1005"/>
        </w:numPr>
        <w:pStyle w:val="Compact"/>
      </w:pPr>
      <w:r>
        <w:rPr>
          <w:bCs/>
          <w:b/>
        </w:rPr>
        <w:t xml:space="preserve">Scope 2 Emissions: 0.02 kWh/unit * 0.65 kg CO2e/kWh = 0.013 kg CO2e/unit</w:t>
      </w:r>
    </w:p>
    <w:bookmarkEnd w:id="35"/>
    <w:bookmarkStart w:id="38" w:name="scope-3-emissions-value-chain"/>
    <w:p>
      <w:pPr>
        <w:pStyle w:val="Heading3"/>
      </w:pPr>
      <w:r>
        <w:t xml:space="preserve">4.3. Scope 3 Emissions (Value Chain)</w:t>
      </w:r>
    </w:p>
    <w:p>
      <w:pPr>
        <w:pStyle w:val="FirstParagraph"/>
      </w:pPr>
      <w:r>
        <w:t xml:space="preserve">Scope 3 emissions represent all other indirect emissions that occur in the value chain, both upstream and downstream. This analysis ensures at least 95% coverage for Scope 3 reporting, as per 2026 requirements, by including major categories such as purchased goods, transportation, use of sold products, and end-of-life treatment.</w:t>
      </w:r>
    </w:p>
    <w:bookmarkStart w:id="36" w:name="upstream-emissions"/>
    <w:p>
      <w:pPr>
        <w:pStyle w:val="Heading4"/>
      </w:pPr>
      <w:r>
        <w:t xml:space="preserve">4.3.1. Upstream Emissions</w:t>
      </w:r>
    </w:p>
    <w:p>
      <w:pPr>
        <w:numPr>
          <w:ilvl w:val="0"/>
          <w:numId w:val="1006"/>
        </w:numPr>
        <w:pStyle w:val="Compact"/>
      </w:pPr>
      <w:r>
        <w:rPr>
          <w:bCs/>
          <w:b/>
        </w:rPr>
        <w:t xml:space="preserve">Material Acquisition &amp; Pre-processing (GHG Protocol Category 1: Purchased Goods and Services):</w:t>
      </w:r>
      <w:r>
        <w:t xml:space="preserve"> </w:t>
      </w:r>
      <w:r>
        <w:t xml:space="preserve">Emissions from the extraction, production, and pre-processing of raw materials and components as detailed in the BOM.</w:t>
      </w:r>
    </w:p>
    <w:p>
      <w:pPr>
        <w:numPr>
          <w:ilvl w:val="1"/>
          <w:numId w:val="1007"/>
        </w:numPr>
        <w:pStyle w:val="Compact"/>
      </w:pPr>
      <w:r>
        <w:rPr>
          <w:bCs/>
          <w:b/>
        </w:rPr>
        <w:t xml:space="preserve">Total Material Carbon: 6.406 kg CO2e/unit</w:t>
      </w:r>
    </w:p>
    <w:p>
      <w:pPr>
        <w:numPr>
          <w:ilvl w:val="0"/>
          <w:numId w:val="1006"/>
        </w:numPr>
        <w:pStyle w:val="Compact"/>
      </w:pPr>
      <w:r>
        <w:rPr>
          <w:bCs/>
          <w:b/>
        </w:rPr>
        <w:t xml:space="preserve">Transportation and Distribution (GHG Protocol Category 4: Upstream Transportation and Distribution):</w:t>
      </w:r>
      <w:r>
        <w:t xml:space="preserve"> </w:t>
      </w:r>
      <w:r>
        <w:t xml:space="preserve">Emissions from the transportation of materials and components to the manufacturing facility and initial distribution to regional hubs.</w:t>
      </w:r>
    </w:p>
    <w:p>
      <w:pPr>
        <w:numPr>
          <w:ilvl w:val="1"/>
          <w:numId w:val="1008"/>
        </w:numPr>
        <w:pStyle w:val="Compact"/>
      </w:pPr>
      <w:r>
        <w:t xml:space="preserve">Product Weight: 0.88 kg</w:t>
      </w:r>
    </w:p>
    <w:p>
      <w:pPr>
        <w:numPr>
          <w:ilvl w:val="1"/>
          <w:numId w:val="1008"/>
        </w:numPr>
        <w:pStyle w:val="Compact"/>
      </w:pPr>
      <w:r>
        <w:t xml:space="preserve">Main Transport (Road Freight, 1500 km): 1500 km * 0.00088 tonnes * 0.07 kg CO2e/tkm = 0.0924 kg CO2e/unit</w:t>
      </w:r>
    </w:p>
    <w:p>
      <w:pPr>
        <w:numPr>
          <w:ilvl w:val="1"/>
          <w:numId w:val="1008"/>
        </w:numPr>
        <w:pStyle w:val="Compact"/>
      </w:pPr>
      <w:r>
        <w:t xml:space="preserve">Last-Mile Delivery (Standard Parcel Post, assumed 50 km): 50 km * 0.88 kg * 0.008 kg CO2e/kg-km = 0.352 kg CO2e/unit</w:t>
      </w:r>
    </w:p>
    <w:p>
      <w:pPr>
        <w:numPr>
          <w:ilvl w:val="1"/>
          <w:numId w:val="1008"/>
        </w:numPr>
        <w:pStyle w:val="Compact"/>
      </w:pPr>
      <w:r>
        <w:rPr>
          <w:bCs/>
          <w:b/>
        </w:rPr>
        <w:t xml:space="preserve">Total Transportation Emissions: 0.0924 + 0.352 = 0.4444 kg CO2e/unit</w:t>
      </w:r>
    </w:p>
    <w:bookmarkEnd w:id="36"/>
    <w:bookmarkStart w:id="37" w:name="downstream-emissions"/>
    <w:p>
      <w:pPr>
        <w:pStyle w:val="Heading4"/>
      </w:pPr>
      <w:r>
        <w:t xml:space="preserve">4.3.2. Downstream Emissions</w:t>
      </w:r>
    </w:p>
    <w:p>
      <w:pPr>
        <w:numPr>
          <w:ilvl w:val="0"/>
          <w:numId w:val="1009"/>
        </w:numPr>
        <w:pStyle w:val="Compact"/>
      </w:pPr>
      <w:r>
        <w:rPr>
          <w:bCs/>
          <w:b/>
        </w:rPr>
        <w:t xml:space="preserve">Use Phase (GHG Protocol Category 11: Use of Sold Products):</w:t>
      </w:r>
      <w:r>
        <w:t xml:space="preserve"> </w:t>
      </w:r>
      <w:r>
        <w:t xml:space="preserve">Emissions resulting from the customer\'s use of the product over its lifespan.</w:t>
      </w:r>
    </w:p>
    <w:p>
      <w:pPr>
        <w:numPr>
          <w:ilvl w:val="1"/>
          <w:numId w:val="1010"/>
        </w:numPr>
        <w:pStyle w:val="Compact"/>
      </w:pPr>
      <w:r>
        <w:t xml:space="preserve">Product Lifespan: 5 years</w:t>
      </w:r>
    </w:p>
    <w:p>
      <w:pPr>
        <w:numPr>
          <w:ilvl w:val="1"/>
          <w:numId w:val="1010"/>
        </w:numPr>
        <w:pStyle w:val="Compact"/>
      </w:pPr>
      <w:r>
        <w:t xml:space="preserve">Energy Consumption in Use: 0.005 kWh/day</w:t>
      </w:r>
    </w:p>
    <w:p>
      <w:pPr>
        <w:numPr>
          <w:ilvl w:val="1"/>
          <w:numId w:val="1010"/>
        </w:numPr>
        <w:pStyle w:val="Compact"/>
      </w:pPr>
      <w:r>
        <w:t xml:space="preserve">Total Energy Consumed: 0.005 kWh/day * 365 days/year * 5 years = 9.125 kWh/unit</w:t>
      </w:r>
    </w:p>
    <w:p>
      <w:pPr>
        <w:numPr>
          <w:ilvl w:val="1"/>
          <w:numId w:val="1010"/>
        </w:numPr>
        <w:pStyle w:val="Compact"/>
      </w:pPr>
      <w:r>
        <w:t xml:space="preserve">Emission Factor (Europe Grid): 0.25 kg CO2e/kWh</w:t>
      </w:r>
    </w:p>
    <w:p>
      <w:pPr>
        <w:numPr>
          <w:ilvl w:val="1"/>
          <w:numId w:val="1010"/>
        </w:numPr>
        <w:pStyle w:val="Compact"/>
      </w:pPr>
      <w:r>
        <w:rPr>
          <w:bCs/>
          <w:b/>
        </w:rPr>
        <w:t xml:space="preserve">Use Phase Emissions: 9.125 kWh/unit * 0.25 kg CO2e/kWh = 2.28125 kg CO2e/unit</w:t>
      </w:r>
    </w:p>
    <w:p>
      <w:pPr>
        <w:numPr>
          <w:ilvl w:val="0"/>
          <w:numId w:val="1009"/>
        </w:numPr>
        <w:pStyle w:val="Compact"/>
      </w:pPr>
      <w:r>
        <w:rPr>
          <w:bCs/>
          <w:b/>
        </w:rPr>
        <w:t xml:space="preserve">End-of-Life Treatment (GHG Protocol Category 12: End-of-Life Treatment of Sold Products):</w:t>
      </w:r>
      <w:r>
        <w:t xml:space="preserve"> </w:t>
      </w:r>
      <w:r>
        <w:t xml:space="preserve">Emissions associated with the disposal or recycling of the product at the end of its life.</w:t>
      </w:r>
    </w:p>
    <w:p>
      <w:pPr>
        <w:numPr>
          <w:ilvl w:val="1"/>
          <w:numId w:val="1011"/>
        </w:numPr>
        <w:pStyle w:val="Compact"/>
      </w:pPr>
      <w:r>
        <w:t xml:space="preserve">Recyclability Percentage: 80%</w:t>
      </w:r>
    </w:p>
    <w:p>
      <w:pPr>
        <w:numPr>
          <w:ilvl w:val="1"/>
          <w:numId w:val="1011"/>
        </w:numPr>
        <w:pStyle w:val="Compact"/>
      </w:pPr>
      <w:r>
        <w:t xml:space="preserve">Disposed Portion (20% of 0.88 kg): 0.176 kg</w:t>
      </w:r>
    </w:p>
    <w:p>
      <w:pPr>
        <w:numPr>
          <w:ilvl w:val="1"/>
          <w:numId w:val="1011"/>
        </w:numPr>
        <w:pStyle w:val="Compact"/>
      </w:pPr>
      <w:r>
        <w:t xml:space="preserve">Disposal Emissions (Landfill EF: 0.1 kg CO2e/kg): 0.176 kg * 0.1 kg CO2e/kg = 0.0176 kg CO2e/unit</w:t>
      </w:r>
    </w:p>
    <w:p>
      <w:pPr>
        <w:numPr>
          <w:ilvl w:val="1"/>
          <w:numId w:val="1011"/>
        </w:numPr>
        <w:pStyle w:val="Compact"/>
      </w:pPr>
      <w:r>
        <w:t xml:space="preserve">Recycling Credit (80% of material footprint avoided, based on 80% recyclability and 0.8 credit factor): -(6.406 kg CO2e * 0.80 * 0.80) = -4.09984 kg CO2e/unit</w:t>
      </w:r>
    </w:p>
    <w:p>
      <w:pPr>
        <w:numPr>
          <w:ilvl w:val="1"/>
          <w:numId w:val="1011"/>
        </w:numPr>
        <w:pStyle w:val="Compact"/>
      </w:pPr>
      <w:r>
        <w:t xml:space="preserve">The company’s</w:t>
      </w:r>
      <w:r>
        <w:t xml:space="preserve"> </w:t>
      </w:r>
      <w:r>
        <w:rPr>
          <w:bCs/>
          <w:b/>
        </w:rPr>
        <w:t xml:space="preserve">Product take-back and refurbishment program (wsokdelsyv)</w:t>
      </w:r>
      <w:r>
        <w:t xml:space="preserve"> </w:t>
      </w:r>
      <w:r>
        <w:t xml:space="preserve">further enhances circularity, potentially leading to additional avoided emissions not fully captured in the recycling credit due to product reuse and material longevity.</w:t>
      </w:r>
    </w:p>
    <w:p>
      <w:pPr>
        <w:numPr>
          <w:ilvl w:val="1"/>
          <w:numId w:val="1011"/>
        </w:numPr>
        <w:pStyle w:val="Compact"/>
      </w:pPr>
      <w:r>
        <w:rPr>
          <w:bCs/>
          <w:b/>
        </w:rPr>
        <w:t xml:space="preserve">Total End-of-Life Emissions: 0.0176 - 4.09984 = -4.08224 kg CO2e/unit</w:t>
      </w:r>
    </w:p>
    <w:bookmarkEnd w:id="37"/>
    <w:bookmarkEnd w:id="38"/>
    <w:bookmarkStart w:id="39" w:name="X439aeab12f653c5be8a9767687610423a65f1bc"/>
    <w:p>
      <w:pPr>
        <w:pStyle w:val="Heading3"/>
      </w:pPr>
      <w:r>
        <w:t xml:space="preserve">4.4. 2026 LSR Update: Land Sector and Removals (LSR) Standard</w:t>
      </w:r>
    </w:p>
    <w:p>
      <w:pPr>
        <w:pStyle w:val="FirstParagraph"/>
      </w:pPr>
      <w:r>
        <w:t xml:space="preserve">The GHG Protocol\'s Land Sector and Removals (LSR) Standard, taking effect on January 1, 2027, provides crucial guidance for quantifying and reporting land emissions, CO2 removals, and biogenic products. While this analysis does not include specific land-use change data for material sourcing or manufacturing given the provided parameters, EcoSolutions Inc. acknowledges the importance of the LSR Standard. Future iterations of this PCF analysis will incorporate detailed land-use impacts associated with raw material extraction and supply chain activities, once relevant data and the full guidance document become available in Q2 2026.</w:t>
      </w:r>
    </w:p>
    <w:bookmarkEnd w:id="39"/>
    <w:bookmarkStart w:id="40" w:name="summary-of-emissions-by-scope"/>
    <w:p>
      <w:pPr>
        <w:pStyle w:val="Heading3"/>
      </w:pPr>
      <w:r>
        <w:t xml:space="preserve">4.5. 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Emissions (kg CO2e/unit)</w:t>
            </w:r>
          </w:p>
        </w:tc>
        <w:tc>
          <w:tcPr/>
          <w:p>
            <w:pPr>
              <w:pStyle w:val="Compact"/>
              <w:jc w:val="left"/>
            </w:pPr>
            <w:r>
              <w:t xml:space="preserve">Description</w:t>
            </w:r>
          </w:p>
        </w:tc>
      </w:tr>
      <w:tr>
        <w:tc>
          <w:tcPr/>
          <w:p>
            <w:pPr>
              <w:pStyle w:val="Compact"/>
              <w:jc w:val="left"/>
            </w:pPr>
            <w:r>
              <w:t xml:space="preserve">Scope 1</w:t>
            </w:r>
          </w:p>
        </w:tc>
        <w:tc>
          <w:tcPr/>
          <w:p>
            <w:pPr>
              <w:pStyle w:val="Compact"/>
              <w:jc w:val="left"/>
            </w:pPr>
            <w:r>
              <w:t xml:space="preserve">0.000</w:t>
            </w:r>
          </w:p>
        </w:tc>
        <w:tc>
          <w:tcPr/>
          <w:p>
            <w:pPr>
              <w:pStyle w:val="Compact"/>
              <w:jc w:val="left"/>
            </w:pPr>
            <w:r>
              <w:t xml:space="preserve">Direct emissions from owned/controlled sources (negligible for this product PCF)</w:t>
            </w:r>
          </w:p>
        </w:tc>
      </w:tr>
      <w:tr>
        <w:tc>
          <w:tcPr/>
          <w:p>
            <w:pPr>
              <w:pStyle w:val="Compact"/>
              <w:jc w:val="left"/>
            </w:pPr>
            <w:r>
              <w:t xml:space="preserve">Scope 2</w:t>
            </w:r>
          </w:p>
        </w:tc>
        <w:tc>
          <w:tcPr/>
          <w:p>
            <w:pPr>
              <w:pStyle w:val="Compact"/>
              <w:jc w:val="left"/>
            </w:pPr>
            <w:r>
              <w:t xml:space="preserve">0.013</w:t>
            </w:r>
          </w:p>
        </w:tc>
        <w:tc>
          <w:tcPr/>
          <w:p>
            <w:pPr>
              <w:pStyle w:val="Compact"/>
              <w:jc w:val="left"/>
            </w:pPr>
            <w:r>
              <w:t xml:space="preserve">Indirect emissions from purchased electricity for production in China</w:t>
            </w:r>
          </w:p>
        </w:tc>
      </w:tr>
      <w:tr>
        <w:tc>
          <w:tcPr/>
          <w:p>
            <w:pPr>
              <w:pStyle w:val="Compact"/>
              <w:jc w:val="left"/>
            </w:pPr>
            <w:r>
              <w:t xml:space="preserve">Scope 3 (Upstream - Category 1)</w:t>
            </w:r>
          </w:p>
        </w:tc>
        <w:tc>
          <w:tcPr/>
          <w:p>
            <w:pPr>
              <w:pStyle w:val="Compact"/>
              <w:jc w:val="left"/>
            </w:pPr>
            <w:r>
              <w:t xml:space="preserve">6.406</w:t>
            </w:r>
          </w:p>
        </w:tc>
        <w:tc>
          <w:tcPr/>
          <w:p>
            <w:pPr>
              <w:pStyle w:val="Compact"/>
              <w:jc w:val="left"/>
            </w:pPr>
            <w:r>
              <w:t xml:space="preserve">Material acquisition and pre-processing</w:t>
            </w:r>
          </w:p>
        </w:tc>
      </w:tr>
      <w:tr>
        <w:tc>
          <w:tcPr/>
          <w:p>
            <w:pPr>
              <w:pStyle w:val="Compact"/>
              <w:jc w:val="left"/>
            </w:pPr>
            <w:r>
              <w:t xml:space="preserve">Scope 3 (Upstream - Category 4)</w:t>
            </w:r>
          </w:p>
        </w:tc>
        <w:tc>
          <w:tcPr/>
          <w:p>
            <w:pPr>
              <w:pStyle w:val="Compact"/>
              <w:jc w:val="left"/>
            </w:pPr>
            <w:r>
              <w:t xml:space="preserve">0.4444</w:t>
            </w:r>
          </w:p>
        </w:tc>
        <w:tc>
          <w:tcPr/>
          <w:p>
            <w:pPr>
              <w:pStyle w:val="Compact"/>
              <w:jc w:val="left"/>
            </w:pPr>
            <w:r>
              <w:t xml:space="preserve">Transportation and distribution</w:t>
            </w:r>
          </w:p>
        </w:tc>
      </w:tr>
      <w:tr>
        <w:tc>
          <w:tcPr/>
          <w:p>
            <w:pPr>
              <w:pStyle w:val="Compact"/>
              <w:jc w:val="left"/>
            </w:pPr>
            <w:r>
              <w:t xml:space="preserve">Scope 3 (Downstream - Category 11)</w:t>
            </w:r>
          </w:p>
        </w:tc>
        <w:tc>
          <w:tcPr/>
          <w:p>
            <w:pPr>
              <w:pStyle w:val="Compact"/>
              <w:jc w:val="left"/>
            </w:pPr>
            <w:r>
              <w:t xml:space="preserve">2.28125</w:t>
            </w:r>
          </w:p>
        </w:tc>
        <w:tc>
          <w:tcPr/>
          <w:p>
            <w:pPr>
              <w:pStyle w:val="Compact"/>
              <w:jc w:val="left"/>
            </w:pPr>
            <w:r>
              <w:t xml:space="preserve">Use of sold product</w:t>
            </w:r>
          </w:p>
        </w:tc>
      </w:tr>
      <w:tr>
        <w:tc>
          <w:tcPr/>
          <w:p>
            <w:pPr>
              <w:pStyle w:val="Compact"/>
              <w:jc w:val="left"/>
            </w:pPr>
            <w:r>
              <w:t xml:space="preserve">Scope 3 (Downstream - Category 12)</w:t>
            </w:r>
          </w:p>
        </w:tc>
        <w:tc>
          <w:tcPr/>
          <w:p>
            <w:pPr>
              <w:pStyle w:val="Compact"/>
              <w:jc w:val="left"/>
            </w:pPr>
            <w:r>
              <w:t xml:space="preserve">-4.08224</w:t>
            </w:r>
          </w:p>
        </w:tc>
        <w:tc>
          <w:tcPr/>
          <w:p>
            <w:pPr>
              <w:pStyle w:val="Compact"/>
              <w:jc w:val="left"/>
            </w:pPr>
            <w:r>
              <w:t xml:space="preserve">End-of-life treatment of sold product (includes recycling credits)</w:t>
            </w:r>
          </w:p>
        </w:tc>
      </w:tr>
      <w:tr>
        <w:tc>
          <w:tcPr/>
          <w:p>
            <w:pPr>
              <w:pStyle w:val="Compact"/>
              <w:jc w:val="left"/>
            </w:pPr>
            <w:r>
              <w:rPr>
                <w:bCs/>
                <w:b/>
              </w:rPr>
              <w:t xml:space="preserve">Total Product Carbon Footprint (PCF)</w:t>
            </w:r>
          </w:p>
        </w:tc>
        <w:tc>
          <w:tcPr/>
          <w:p>
            <w:pPr>
              <w:pStyle w:val="Compact"/>
              <w:jc w:val="left"/>
            </w:pPr>
            <w:r>
              <w:rPr>
                <w:bCs/>
                <w:b/>
              </w:rPr>
              <w:t xml:space="preserve">5.06241</w:t>
            </w:r>
          </w:p>
        </w:tc>
        <w:tc>
          <w:tcPr/>
          <w:p>
            <w:pPr>
              <w:pStyle w:val="Compact"/>
            </w:pPr>
          </w:p>
        </w:tc>
      </w:tr>
    </w:tbl>
    <w:p>
      <w:r>
        <w:pict>
          <v:rect style="width:0;height:1.5pt" o:hralign="center" o:hrstd="t" o:hr="t"/>
        </w:pict>
      </w:r>
    </w:p>
    <w:bookmarkEnd w:id="40"/>
    <w:bookmarkEnd w:id="41"/>
    <w:bookmarkStart w:id="45" w:name="review-reporting"/>
    <w:p>
      <w:pPr>
        <w:pStyle w:val="Heading2"/>
      </w:pPr>
      <w:r>
        <w:t xml:space="preserve">5. Review &amp; Reporting</w:t>
      </w:r>
    </w:p>
    <w:bookmarkStart w:id="42" w:name="key-findings-hotspots"/>
    <w:p>
      <w:pPr>
        <w:pStyle w:val="Heading3"/>
      </w:pPr>
      <w:r>
        <w:t xml:space="preserve">5.1. Key Findings &amp; Hotspots</w:t>
      </w:r>
    </w:p>
    <w:p>
      <w:pPr>
        <w:pStyle w:val="FirstParagraph"/>
      </w:pPr>
      <w:r>
        <w:t xml:space="preserve">The total Product Carbon Footprint for the Smart Widget Pro is calculated at</w:t>
      </w:r>
      <w:r>
        <w:t xml:space="preserve"> </w:t>
      </w:r>
      <w:r>
        <w:rPr>
          <w:bCs/>
          <w:b/>
        </w:rPr>
        <w:t xml:space="preserve">5.06 kg CO2e per unit</w:t>
      </w:r>
      <w:r>
        <w:t xml:space="preserve">. The most significant contributors to this footprint are:</w:t>
      </w:r>
    </w:p>
    <w:p>
      <w:pPr>
        <w:numPr>
          <w:ilvl w:val="0"/>
          <w:numId w:val="1012"/>
        </w:numPr>
        <w:pStyle w:val="Compact"/>
      </w:pPr>
      <w:r>
        <w:rPr>
          <w:bCs/>
          <w:b/>
        </w:rPr>
        <w:t xml:space="preserve">Material Acquisition &amp; Pre-processing (Scope 3 Upstream):</w:t>
      </w:r>
      <w:r>
        <w:t xml:space="preserve"> </w:t>
      </w:r>
      <w:r>
        <w:t xml:space="preserve">Accounting for approximately 126.5% of the total positive emissions, driven primarily by high-impact materials such as Lithium-ion batteries and aluminum.</w:t>
      </w:r>
    </w:p>
    <w:p>
      <w:pPr>
        <w:numPr>
          <w:ilvl w:val="0"/>
          <w:numId w:val="1012"/>
        </w:numPr>
        <w:pStyle w:val="Compact"/>
      </w:pPr>
      <w:r>
        <w:rPr>
          <w:bCs/>
          <w:b/>
        </w:rPr>
        <w:t xml:space="preserve">Use Phase (Scope 3 Downstream):</w:t>
      </w:r>
      <w:r>
        <w:t xml:space="preserve"> </w:t>
      </w:r>
      <w:r>
        <w:t xml:space="preserve">Contributing approximately 45% of the total positive emissions, due to the product\'s energy consumption over its 5-year lifespan.</w:t>
      </w:r>
    </w:p>
    <w:p>
      <w:pPr>
        <w:numPr>
          <w:ilvl w:val="0"/>
          <w:numId w:val="1012"/>
        </w:numPr>
        <w:pStyle w:val="Compact"/>
      </w:pPr>
      <w:r>
        <w:rPr>
          <w:bCs/>
          <w:b/>
        </w:rPr>
        <w:t xml:space="preserve">End-of-Life (Scope 3 Downstream):</w:t>
      </w:r>
      <w:r>
        <w:t xml:space="preserve"> </w:t>
      </w:r>
      <w:r>
        <w:t xml:space="preserve">This phase shows a significant negative contribution (-4.08 kg CO2e/unit) due to the high recyclability (80%) and the associated avoided emissions from recycling, demonstrating the positive impact of circular economy initiatives.</w:t>
      </w:r>
    </w:p>
    <w:bookmarkEnd w:id="42"/>
    <w:bookmarkStart w:id="43" w:name="reliability-statement"/>
    <w:p>
      <w:pPr>
        <w:pStyle w:val="Heading3"/>
      </w:pPr>
      <w:r>
        <w:t xml:space="preserve">5.2. Reliability Statement</w:t>
      </w:r>
    </w:p>
    <w:p>
      <w:pPr>
        <w:pStyle w:val="FirstParagraph"/>
      </w:pPr>
      <w:r>
        <w:t xml:space="preserve">This PCF analysis is based on the parameters provided by mfvtkisuyk (EcoSolutions Inc.) and uses recognized industry-standard emission factors. While every effort has been made to ensure accuracy and adherence to the GHG Protocol, certain assumptions regarding energy mixes, transport efficiency, and end-of-life scenarios have been made in the absence of more granular primary data. The reliability is considered high for the scope defined, with a strong emphasis on comprehensive Scope 3 coverage.</w:t>
      </w:r>
    </w:p>
    <w:bookmarkEnd w:id="43"/>
    <w:bookmarkStart w:id="44" w:name="recommendations-for-reduction"/>
    <w:p>
      <w:pPr>
        <w:pStyle w:val="Heading3"/>
      </w:pPr>
      <w:r>
        <w:t xml:space="preserve">5.3. Recommendations for Reduction</w:t>
      </w:r>
    </w:p>
    <w:p>
      <w:pPr>
        <w:pStyle w:val="FirstParagraph"/>
      </w:pPr>
      <w:r>
        <w:t xml:space="preserve">To further reduce the PCF of the Smart Widget Pro, EcoSolutions Inc. should consider:</w:t>
      </w:r>
    </w:p>
    <w:p>
      <w:pPr>
        <w:numPr>
          <w:ilvl w:val="0"/>
          <w:numId w:val="1013"/>
        </w:numPr>
        <w:pStyle w:val="Compact"/>
      </w:pPr>
      <w:r>
        <w:rPr>
          <w:bCs/>
          <w:b/>
        </w:rPr>
        <w:t xml:space="preserve">Material Optimization:</w:t>
      </w:r>
      <w:r>
        <w:t xml:space="preserve"> </w:t>
      </w:r>
      <w:r>
        <w:t xml:space="preserve">Explore opportunities to substitute high-impact materials with lower-carbon alternatives or increase the use of recycled content in components like aluminum and plastics, further reducing Scope 3 Category 1 emissions.</w:t>
      </w:r>
    </w:p>
    <w:p>
      <w:pPr>
        <w:numPr>
          <w:ilvl w:val="0"/>
          <w:numId w:val="1013"/>
        </w:numPr>
        <w:pStyle w:val="Compact"/>
      </w:pPr>
      <w:r>
        <w:rPr>
          <w:bCs/>
          <w:b/>
        </w:rPr>
        <w:t xml:space="preserve">Energy Efficiency in Use:</w:t>
      </w:r>
      <w:r>
        <w:t xml:space="preserve"> </w:t>
      </w:r>
      <w:r>
        <w:t xml:space="preserve">Invest in R&amp;D to enhance the energy efficiency of the product, thereby decreasing energy consumption during its use phase (Scope 3 Category 11) and reducing reliance on grid electricity.</w:t>
      </w:r>
    </w:p>
    <w:p>
      <w:pPr>
        <w:numPr>
          <w:ilvl w:val="0"/>
          <w:numId w:val="1013"/>
        </w:numPr>
        <w:pStyle w:val="Compact"/>
      </w:pPr>
      <w:r>
        <w:rPr>
          <w:bCs/>
          <w:b/>
        </w:rPr>
        <w:t xml:space="preserve">Supply Chain Decarbonization:</w:t>
      </w:r>
      <w:r>
        <w:t xml:space="preserve"> </w:t>
      </w:r>
      <w:r>
        <w:t xml:space="preserve">Engage with suppliers to understand and reduce their emissions, particularly for high-volume or high-impact components. Optimize transport routes and modes for upstream and downstream logistics.</w:t>
      </w:r>
    </w:p>
    <w:p>
      <w:pPr>
        <w:numPr>
          <w:ilvl w:val="0"/>
          <w:numId w:val="1013"/>
        </w:numPr>
        <w:pStyle w:val="Compact"/>
      </w:pPr>
      <w:r>
        <w:rPr>
          <w:bCs/>
          <w:b/>
        </w:rPr>
        <w:t xml:space="preserve">Expand Circularity:</w:t>
      </w:r>
      <w:r>
        <w:t xml:space="preserve"> </w:t>
      </w:r>
      <w:r>
        <w:t xml:space="preserve">Continue to strengthen and promote the "Product take-back and refurbishment program" (wsokdelsyv) to extend product lifespans and increase material recovery rates beyond</w:t>
      </w:r>
      <w:r>
        <w:t xml:space="preserve"> </w:t>
      </w:r>
      <w:r>
        <w:rPr>
          <w:bCs/>
          <w:b/>
        </w:rPr>
        <w:t xml:space="preserve">xrmuxfordf (80%)</w:t>
      </w:r>
      <w:r>
        <w:t xml:space="preserve">.</w:t>
      </w:r>
    </w:p>
    <w:p>
      <w:pPr>
        <w:numPr>
          <w:ilvl w:val="0"/>
          <w:numId w:val="1013"/>
        </w:numPr>
        <w:pStyle w:val="Compact"/>
      </w:pPr>
      <w:r>
        <w:rPr>
          <w:bCs/>
          <w:b/>
        </w:rPr>
        <w:t xml:space="preserve">Data Granularity:</w:t>
      </w:r>
      <w:r>
        <w:t xml:space="preserve"> </w:t>
      </w:r>
      <w:r>
        <w:t xml:space="preserve">For future analyses, gather more specific data on supplier-specific emission factors, actual last-mile delivery distances, and detailed energy mixes for manufacturing locations to improve the accuracy of the PCF.</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Widget Pro</dc:title>
  <dc:creator/>
  <dc:description>High-detail Product Carbon Footprint (PCF) analysis for Smart Widget Pro by EcoSolutions Inc., adhering to GHG Protocol and 2026 LSR update, performed by Dr. Anya Sharma, Senior Sustainability Consultant.</dc:description>
  <dc:language>en</dc:language>
  <cp:keywords/>
  <dcterms:created xsi:type="dcterms:W3CDTF">2026-07-15T06:43:55Z</dcterms:created>
  <dcterms:modified xsi:type="dcterms:W3CDTF">2026-07-15T06:43:55Z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