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Sensor</w:t>
      </w:r>
      <w:r>
        <w:t xml:space="preserve"> </w:t>
      </w:r>
      <w:r>
        <w:t xml:space="preserve">Unit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Smart Sensor Unit (mnooswuirt)</w:t>
      </w:r>
    </w:p>
    <w:p>
      <w:pPr>
        <w:pStyle w:val="BodyText"/>
      </w:pPr>
      <w:r>
        <w:t xml:space="preserve">Company: TechInnovate Solutions (rhsedzsrkq)</w:t>
      </w:r>
    </w:p>
    <w:p>
      <w:pPr>
        <w:pStyle w:val="BodyText"/>
      </w:pPr>
      <w:r>
        <w:t xml:space="preserve">Senior Sustainability Consultant: Dr. Anya Sharma (zyrhrwtoeo)</w:t>
      </w:r>
    </w:p>
    <w:p>
      <w:pPr>
        <w:pStyle w:val="BodyText"/>
      </w:pPr>
      <w:r>
        <w:t xml:space="preserve">Protocol Data (Accounting Standard): GHG Protocol</w:t>
      </w:r>
    </w:p>
    <w:p>
      <w:pPr>
        <w:pStyle w:val="BodyText"/>
      </w:pPr>
      <w:r>
        <w:t xml:space="preserve">Disclaimer: This report is generated based on available data and industry standards.</w:t>
      </w:r>
      <w:r>
        <w:t xml:space="preserve"> </w:t>
      </w:r>
      <w:r>
        <w:t xml:space="preserve">The accuracy of the calculations relies on the completeness and quality of the provided input parameters and illustrative emission factors.</w:t>
      </w:r>
    </w:p>
    <w:bookmarkEnd w:id="20"/>
    <w:bookmarkStart w:id="21" w:name="Xb1e8940d812769ab6bc293168e212bba758f648"/>
    <w:p>
      <w:pPr>
        <w:pStyle w:val="Heading1"/>
      </w:pPr>
      <w:r>
        <w:t xml:space="preserve">Product Carbon Footprint Analysis for Smart Sensor Unit (mnooswuirt)</w:t>
      </w:r>
    </w:p>
    <w:p>
      <w:pPr>
        <w:pStyle w:val="FirstParagraph"/>
      </w:pPr>
      <w:r>
        <w:t xml:space="preserve">Generated Date: Sunday, May 24,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Smart Sensor Unit (mnooswuirt) manufactured by TechInnovate Solutions (rhsedzsrkq).</w:t>
      </w:r>
      <w:r>
        <w:t xml:space="preserve"> </w:t>
      </w:r>
      <w:r>
        <w:t xml:space="preserve">Conducted by Dr. Anya Sharma (zyrhrwtoeo), Senior Sustainability Consultant, this analysis adheres strictly to the GHG Protocol, incorporating the latest 2026 updates including the Land Sector and Removals (LSR) Standard and stringent Scope 3 coverage requirements. The primary objective is to quantify the greenhouse gas emissions associated with the product across its entire lifecycle, from material acquisition to end-of-life, identifying key emission hotspots and providing a foundational understanding for future decarbonization strategies. This analysis is based on a cradle-to-grave system boundary, providing a comprehensive view of the product\'s environmental impact.</w:t>
      </w:r>
    </w:p>
    <w:p>
      <w:r>
        <w:pict>
          <v:rect style="width:0;height:1.5pt" o:hralign="center" o:hrstd="t" o:hr="t"/>
        </w:pict>
      </w:r>
    </w:p>
    <w:bookmarkEnd w:id="22"/>
    <w:bookmarkStart w:id="25" w:name="methodology"/>
    <w:p>
      <w:pPr>
        <w:pStyle w:val="Heading2"/>
      </w:pPr>
      <w:r>
        <w:t xml:space="preserve">1. Methodology</w:t>
      </w:r>
    </w:p>
    <w:p>
      <w:pPr>
        <w:pStyle w:val="FirstParagraph"/>
      </w:pPr>
      <w:r>
        <w:t xml:space="preserve">The Product Carbon Footprint (PCF) analysis was conducted following a systematic five-step methodology as prescribed by the GHG Protocol:</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(LCI)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define-scope"/>
    <w:p>
      <w:pPr>
        <w:pStyle w:val="Heading3"/>
      </w:pPr>
      <w:r>
        <w:t xml:space="preserve">1.1. Define Scope</w:t>
      </w:r>
    </w:p>
    <w:p>
      <w:pPr>
        <w:numPr>
          <w:ilvl w:val="0"/>
          <w:numId w:val="1002"/>
        </w:numPr>
        <w:pStyle w:val="Compact"/>
      </w:pPr>
      <w:r>
        <w:rPr>
          <w:bCs/>
          <w:b/>
        </w:rPr>
        <w:t xml:space="preserve">Functional Unit:</w:t>
      </w:r>
      <w:r>
        <w:t xml:space="preserve"> </w:t>
      </w:r>
      <w:r>
        <w:t xml:space="preserve">1.0 unit of the Smart Sensor Unit (mnooswuirt).</w:t>
      </w:r>
    </w:p>
    <w:p>
      <w:pPr>
        <w:numPr>
          <w:ilvl w:val="0"/>
          <w:numId w:val="1002"/>
        </w:numPr>
        <w:pStyle w:val="Compact"/>
      </w:pPr>
      <w:r>
        <w:rPr>
          <w:bCs/>
          <w:b/>
        </w:rPr>
        <w:t xml:space="preserve">System Boundary:</w:t>
      </w:r>
      <w:r>
        <w:t xml:space="preserve"> </w:t>
      </w:r>
      <w:r>
        <w:t xml:space="preserve">Cradle-to-grave. While the primary focus for manufacturing is at the "factory_gate", a complete cradle-to-grave assessment has been performed to incorporate the use phase and end-of-life scenarios, as per the report\'s requirements. This provides a holistic view of the product\'s environmental impact throughout its entire lifespan.</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 All emissions are categorized into Scope 1 (direct), Scope 2 (purchased energy), and Scope 3 (value chain) for comprehensive reporting.</w:t>
      </w:r>
    </w:p>
    <w:p>
      <w:pPr>
        <w:numPr>
          <w:ilvl w:val="0"/>
          <w:numId w:val="1002"/>
        </w:numPr>
        <w:pStyle w:val="Compact"/>
      </w:pPr>
      <w:r>
        <w:rPr>
          <w:bCs/>
          <w:b/>
        </w:rPr>
        <w:t xml:space="preserve">Allocation:</w:t>
      </w:r>
      <w:r>
        <w:t xml:space="preserve"> </w:t>
      </w:r>
      <w:r>
        <w:t xml:space="preserve">Where applicable, allocation is based on mass for co-products or by-products.</w:t>
      </w:r>
    </w:p>
    <w:bookmarkEnd w:id="23"/>
    <w:bookmarkStart w:id="24" w:name="ghg-protocol-compliance-2026-updates"/>
    <w:p>
      <w:pPr>
        <w:pStyle w:val="Heading3"/>
      </w:pPr>
      <w:r>
        <w:t xml:space="preserve">1.2. GHG Protocol Compliance &amp; 2026 Updates</w:t>
      </w:r>
    </w:p>
    <w:p>
      <w:pPr>
        <w:pStyle w:val="FirstParagraph"/>
      </w:pPr>
      <w:r>
        <w:t xml:space="preserve">This report fully adheres to the GHG Protocol standards, including recent updates:</w:t>
      </w:r>
    </w:p>
    <w:p>
      <w:pPr>
        <w:numPr>
          <w:ilvl w:val="0"/>
          <w:numId w:val="1003"/>
        </w:numPr>
        <w:pStyle w:val="Compact"/>
      </w:pPr>
      <w:r>
        <w:rPr>
          <w:bCs/>
          <w:b/>
        </w:rPr>
        <w:t xml:space="preserve">2026 LSR Update:</w:t>
      </w:r>
      <w:r>
        <w:t xml:space="preserve"> </w:t>
      </w:r>
      <w:r>
        <w:t xml:space="preserve">The Land Sector and Removals (LSR) Standard v1.0, released on January 30, 2026, and effective January 1, 2027, is applied to account for land use and carbon removals. While specific land-use changes for this product are not directly applicable in its manufacturing, the standard\'s principles for carbon removals (e.g., in biogenic products) are considered where relevant. The accompanying guidance, expected in Q2 2026, will provide further detail.</w:t>
      </w:r>
    </w:p>
    <w:p>
      <w:pPr>
        <w:numPr>
          <w:ilvl w:val="0"/>
          <w:numId w:val="1003"/>
        </w:numPr>
        <w:pStyle w:val="Compact"/>
      </w:pPr>
      <w:r>
        <w:rPr>
          <w:bCs/>
          <w:b/>
        </w:rPr>
        <w:t xml:space="preserve">Scope 3 Compliance:</w:t>
      </w:r>
      <w:r>
        <w:t xml:space="preserve"> </w:t>
      </w:r>
      <w:r>
        <w:t xml:space="preserve">In line with proposed 2026 requirements, efforts have been made to ensure at least 95% coverage for all *required* Scope 3 reporting. This means that all significant upstream and downstream value chain emissions have been quantified and included. Any minor exclusions would not exceed 5% of total required Scope 3 emissions.</w:t>
      </w:r>
    </w:p>
    <w:p>
      <w:r>
        <w:pict>
          <v:rect style="width:0;height:1.5pt" o:hralign="center" o:hrstd="t" o:hr="t"/>
        </w:pict>
      </w:r>
    </w:p>
    <w:bookmarkEnd w:id="24"/>
    <w:bookmarkEnd w:id="25"/>
    <w:bookmarkStart w:id="31" w:name="map-lifecycle-3.-collect-data"/>
    <w:p>
      <w:pPr>
        <w:pStyle w:val="Heading2"/>
      </w:pPr>
      <w:r>
        <w:t xml:space="preserve">2. Map Lifecycle &amp; 3. Collect Data</w:t>
      </w:r>
    </w:p>
    <w:p>
      <w:pPr>
        <w:pStyle w:val="FirstParagraph"/>
      </w:pPr>
      <w:r>
        <w:t xml:space="preserve">The lifecycle of the Smart Sensor Unit (mnooswuirt) has been mapped across key stages, and data collected from specified parameters. Illustrative emission factors, largely aligned with Ecoinvent and DEFRA databases, have been used for calculations where specific factors were not provided.</w:t>
      </w:r>
    </w:p>
    <w:bookmarkStart w:id="26" w:name="X97d34a4e107674f0f8b0dc154e6ab9cd84d5362"/>
    <w:p>
      <w:pPr>
        <w:pStyle w:val="Heading3"/>
      </w:pPr>
      <w:r>
        <w:t xml:space="preserve">2.1. Detailed Bill of Materials (BOM) - Illustrative Data</w:t>
      </w:r>
    </w:p>
    <w:p>
      <w:pPr>
        <w:pStyle w:val="FirstParagraph"/>
      </w:pPr>
      <w:r>
        <w:t xml:space="preserve">The following detailed Bill of Materials (BOM) for the Smart Sensor Unit (mnooswuirt) was used for high-accuracy material impact calculation. The "Emission Factor" is per unit or kg of the material, and "Total Carbon" is the calculated emission for that item in kgCO2e.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0.5</w:t>
            </w:r>
          </w:p>
        </w:tc>
        <w:tc>
          <w:tcPr/>
          <w:p>
            <w:pPr>
              <w:pStyle w:val="Compact"/>
              <w:jc w:val="left"/>
            </w:pPr>
            <w:r>
              <w:t xml:space="preserve">0.50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bl>
    <w:p>
      <w:pPr>
        <w:pStyle w:val="BodyText"/>
      </w:pPr>
      <w:r>
        <w:rPr>
          <w:iCs/>
          <w:i/>
        </w:rPr>
        <w:t xml:space="preserve">Assumed product weight for transport and EoL: 0.5 kg.</w:t>
      </w:r>
    </w:p>
    <w:bookmarkEnd w:id="26"/>
    <w:bookmarkStart w:id="27" w:name="production-phase-energy-inputs"/>
    <w:p>
      <w:pPr>
        <w:pStyle w:val="Heading3"/>
      </w:pPr>
      <w:r>
        <w:t xml:space="preserve">2.2. Production Phase Energy Inputs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Energy Intensity</w:t>
            </w:r>
          </w:p>
        </w:tc>
        <w:tc>
          <w:tcPr/>
          <w:p>
            <w:pPr>
              <w:pStyle w:val="Compact"/>
              <w:jc w:val="left"/>
            </w:pPr>
            <w:r>
              <w:t xml:space="preserve">5</w:t>
            </w:r>
          </w:p>
        </w:tc>
        <w:tc>
          <w:tcPr/>
          <w:p>
            <w:pPr>
              <w:pStyle w:val="Compact"/>
              <w:jc w:val="left"/>
            </w:pPr>
            <w:r>
              <w:t xml:space="preserve">kWh/unit</w:t>
            </w:r>
          </w:p>
        </w:tc>
        <w:tc>
          <w:tcPr/>
          <w:p>
            <w:pPr>
              <w:pStyle w:val="Compact"/>
              <w:jc w:val="left"/>
            </w:pPr>
            <w:r>
              <w:t xml:space="preserve">Total electricity consumed for manufacturing one unit.</w:t>
            </w:r>
          </w:p>
        </w:tc>
      </w:tr>
      <w:tr>
        <w:tc>
          <w:tcPr/>
          <w:p>
            <w:pPr>
              <w:pStyle w:val="Compact"/>
              <w:jc w:val="left"/>
            </w:pPr>
            <w:r>
              <w:t xml:space="preserve">Renewable Energy Usage</w:t>
            </w:r>
          </w:p>
        </w:tc>
        <w:tc>
          <w:tcPr/>
          <w:p>
            <w:pPr>
              <w:pStyle w:val="Compact"/>
              <w:jc w:val="left"/>
            </w:pPr>
            <w:r>
              <w:t xml:space="preserve">60%</w:t>
            </w:r>
          </w:p>
        </w:tc>
        <w:tc>
          <w:tcPr/>
          <w:p>
            <w:pPr>
              <w:pStyle w:val="Compact"/>
              <w:jc w:val="left"/>
            </w:pPr>
            <w:r>
              <w:t xml:space="preserve">Percentage</w:t>
            </w:r>
          </w:p>
        </w:tc>
        <w:tc>
          <w:tcPr/>
          <w:p>
            <w:pPr>
              <w:pStyle w:val="Compact"/>
              <w:jc w:val="left"/>
            </w:pPr>
            <w:r>
              <w:t xml:space="preserve">Proportion of electricity from renewable sources.</w:t>
            </w:r>
          </w:p>
        </w:tc>
      </w:tr>
      <w:tr>
        <w:tc>
          <w:tcPr/>
          <w:p>
            <w:pPr>
              <w:pStyle w:val="Compact"/>
              <w:jc w:val="left"/>
            </w:pPr>
            <w:r>
              <w:t xml:space="preserve">Non-Renewable Grid Mix (China) EF</w:t>
            </w:r>
          </w:p>
        </w:tc>
        <w:tc>
          <w:tcPr/>
          <w:p>
            <w:pPr>
              <w:pStyle w:val="Compact"/>
              <w:jc w:val="left"/>
            </w:pPr>
            <w:r>
              <w:t xml:space="preserve">0.6</w:t>
            </w:r>
          </w:p>
        </w:tc>
        <w:tc>
          <w:tcPr/>
          <w:p>
            <w:pPr>
              <w:pStyle w:val="Compact"/>
              <w:jc w:val="left"/>
            </w:pPr>
            <w:r>
              <w:t xml:space="preserve">kgCO2e/kWh</w:t>
            </w:r>
          </w:p>
        </w:tc>
        <w:tc>
          <w:tcPr/>
          <w:p>
            <w:pPr>
              <w:pStyle w:val="Compact"/>
              <w:jc w:val="left"/>
            </w:pPr>
            <w:r>
              <w:t xml:space="preserve">Illustrative emission factor for remaining grid electricity.</w:t>
            </w:r>
          </w:p>
        </w:tc>
      </w:tr>
      <w:tr>
        <w:tc>
          <w:tcPr/>
          <w:p>
            <w:pPr>
              <w:pStyle w:val="Compact"/>
              <w:jc w:val="left"/>
            </w:pPr>
            <w:r>
              <w:t xml:space="preserve">Renewable Energy (Residual) EF</w:t>
            </w:r>
          </w:p>
        </w:tc>
        <w:tc>
          <w:tcPr/>
          <w:p>
            <w:pPr>
              <w:pStyle w:val="Compact"/>
              <w:jc w:val="left"/>
            </w:pPr>
            <w:r>
              <w:t xml:space="preserve">0.05</w:t>
            </w:r>
          </w:p>
        </w:tc>
        <w:tc>
          <w:tcPr/>
          <w:p>
            <w:pPr>
              <w:pStyle w:val="Compact"/>
              <w:jc w:val="left"/>
            </w:pPr>
            <w:r>
              <w:t xml:space="preserve">kgCO2e/kWh</w:t>
            </w:r>
          </w:p>
        </w:tc>
        <w:tc>
          <w:tcPr/>
          <w:p>
            <w:pPr>
              <w:pStyle w:val="Compact"/>
              <w:jc w:val="left"/>
            </w:pPr>
            <w:r>
              <w:t xml:space="preserve">Illustrative emission factor for renewable electricity.</w:t>
            </w:r>
          </w:p>
        </w:tc>
      </w:tr>
    </w:tbl>
    <w:bookmarkEnd w:id="27"/>
    <w:bookmarkStart w:id="28" w:name="logistics-data"/>
    <w:p>
      <w:pPr>
        <w:pStyle w:val="Heading3"/>
      </w:pPr>
      <w:r>
        <w:t xml:space="preserve">2.3. Logistics Data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Upstream Transport Mode</w:t>
            </w:r>
          </w:p>
        </w:tc>
        <w:tc>
          <w:tcPr/>
          <w:p>
            <w:pPr>
              <w:pStyle w:val="Compact"/>
              <w:jc w:val="left"/>
            </w:pPr>
            <w:r>
              <w:t xml:space="preserve">Ocean Freight (Intercontinental)</w:t>
            </w:r>
          </w:p>
        </w:tc>
        <w:tc>
          <w:tcPr/>
          <w:p>
            <w:pPr>
              <w:pStyle w:val="Compact"/>
              <w:jc w:val="left"/>
            </w:pPr>
            <w:r>
              <w:t xml:space="preserve">Mode</w:t>
            </w:r>
          </w:p>
        </w:tc>
        <w:tc>
          <w:tcPr/>
          <w:p>
            <w:pPr>
              <w:pStyle w:val="Compact"/>
              <w:jc w:val="left"/>
            </w:pPr>
            <w:r>
              <w:t xml:space="preserve">From raw material origin to production facility (China).</w:t>
            </w:r>
          </w:p>
        </w:tc>
      </w:tr>
      <w:tr>
        <w:tc>
          <w:tcPr/>
          <w:p>
            <w:pPr>
              <w:pStyle w:val="Compact"/>
              <w:jc w:val="left"/>
            </w:pPr>
            <w:r>
              <w:t xml:space="preserve">Upstream Transport Distance</w:t>
            </w:r>
          </w:p>
        </w:tc>
        <w:tc>
          <w:tcPr/>
          <w:p>
            <w:pPr>
              <w:pStyle w:val="Compact"/>
              <w:jc w:val="left"/>
            </w:pPr>
            <w:r>
              <w:t xml:space="preserve">15,000</w:t>
            </w:r>
          </w:p>
        </w:tc>
        <w:tc>
          <w:tcPr/>
          <w:p>
            <w:pPr>
              <w:pStyle w:val="Compact"/>
              <w:jc w:val="left"/>
            </w:pPr>
            <w:r>
              <w:t xml:space="preserve">km</w:t>
            </w:r>
          </w:p>
        </w:tc>
        <w:tc>
          <w:tcPr/>
          <w:p>
            <w:pPr>
              <w:pStyle w:val="Compact"/>
              <w:jc w:val="left"/>
            </w:pPr>
            <w:r>
              <w:t xml:space="preserve">Illustrative intercontinental ocean distance.</w:t>
            </w:r>
          </w:p>
        </w:tc>
      </w:tr>
      <w:tr>
        <w:tc>
          <w:tcPr/>
          <w:p>
            <w:pPr>
              <w:pStyle w:val="Compact"/>
              <w:jc w:val="left"/>
            </w:pPr>
            <w:r>
              <w:t xml:space="preserve">Downstream Transport Mode</w:t>
            </w:r>
          </w:p>
        </w:tc>
        <w:tc>
          <w:tcPr/>
          <w:p>
            <w:pPr>
              <w:pStyle w:val="Compact"/>
              <w:jc w:val="left"/>
            </w:pPr>
            <w:r>
              <w:t xml:space="preserve">Road Freight (Local)</w:t>
            </w:r>
          </w:p>
        </w:tc>
        <w:tc>
          <w:tcPr/>
          <w:p>
            <w:pPr>
              <w:pStyle w:val="Compact"/>
              <w:jc w:val="left"/>
            </w:pPr>
            <w:r>
              <w:t xml:space="preserve">Mode</w:t>
            </w:r>
          </w:p>
        </w:tc>
        <w:tc>
          <w:tcPr/>
          <w:p>
            <w:pPr>
              <w:pStyle w:val="Compact"/>
              <w:jc w:val="left"/>
            </w:pPr>
            <w:r>
              <w:t xml:space="preserve">From production facility to distribution hub.</w:t>
            </w:r>
          </w:p>
        </w:tc>
      </w:tr>
      <w:tr>
        <w:tc>
          <w:tcPr/>
          <w:p>
            <w:pPr>
              <w:pStyle w:val="Compact"/>
              <w:jc w:val="left"/>
            </w:pPr>
            <w:r>
              <w:t xml:space="preserve">Downstream Transport Distance</w:t>
            </w:r>
          </w:p>
        </w:tc>
        <w:tc>
          <w:tcPr/>
          <w:p>
            <w:pPr>
              <w:pStyle w:val="Compact"/>
              <w:jc w:val="left"/>
            </w:pPr>
            <w:r>
              <w:t xml:space="preserve">500</w:t>
            </w:r>
          </w:p>
        </w:tc>
        <w:tc>
          <w:tcPr/>
          <w:p>
            <w:pPr>
              <w:pStyle w:val="Compact"/>
              <w:jc w:val="left"/>
            </w:pPr>
            <w:r>
              <w:t xml:space="preserve">km</w:t>
            </w:r>
          </w:p>
        </w:tc>
        <w:tc>
          <w:tcPr/>
          <w:p>
            <w:pPr>
              <w:pStyle w:val="Compact"/>
              <w:jc w:val="left"/>
            </w:pPr>
            <w:r>
              <w:t xml:space="preserve">Illustrative local road distance.</w:t>
            </w:r>
          </w:p>
        </w:tc>
      </w:tr>
      <w:tr>
        <w:tc>
          <w:tcPr/>
          <w:p>
            <w:pPr>
              <w:pStyle w:val="Compact"/>
              <w:jc w:val="left"/>
            </w:pPr>
            <w:r>
              <w:t xml:space="preserve">Last-Mile Delivery Channel</w:t>
            </w:r>
          </w:p>
        </w:tc>
        <w:tc>
          <w:tcPr/>
          <w:p>
            <w:pPr>
              <w:pStyle w:val="Compact"/>
              <w:jc w:val="left"/>
            </w:pPr>
            <w:r>
              <w:t xml:space="preserve">Parcel Post</w:t>
            </w:r>
          </w:p>
        </w:tc>
        <w:tc>
          <w:tcPr/>
          <w:p>
            <w:pPr>
              <w:pStyle w:val="Compact"/>
              <w:jc w:val="left"/>
            </w:pPr>
            <w:r>
              <w:t xml:space="preserve">Type</w:t>
            </w:r>
          </w:p>
        </w:tc>
        <w:tc>
          <w:tcPr/>
          <w:p>
            <w:pPr>
              <w:pStyle w:val="Compact"/>
              <w:jc w:val="left"/>
            </w:pPr>
            <w:r>
              <w:t xml:space="preserve">Delivery to end-consumer.</w:t>
            </w:r>
          </w:p>
        </w:tc>
      </w:tr>
      <w:tr>
        <w:tc>
          <w:tcPr/>
          <w:p>
            <w:pPr>
              <w:pStyle w:val="Compact"/>
              <w:jc w:val="left"/>
            </w:pPr>
            <w:r>
              <w:t xml:space="preserve">Ocean Freight Emission Factor</w:t>
            </w:r>
          </w:p>
        </w:tc>
        <w:tc>
          <w:tcPr/>
          <w:p>
            <w:pPr>
              <w:pStyle w:val="Compact"/>
              <w:jc w:val="left"/>
            </w:pPr>
            <w:r>
              <w:t xml:space="preserve">0.01</w:t>
            </w:r>
          </w:p>
        </w:tc>
        <w:tc>
          <w:tcPr/>
          <w:p>
            <w:pPr>
              <w:pStyle w:val="Compact"/>
              <w:jc w:val="left"/>
            </w:pPr>
            <w:r>
              <w:t xml:space="preserve">kgCO2e/tonne-km</w:t>
            </w:r>
          </w:p>
        </w:tc>
        <w:tc>
          <w:tcPr/>
          <w:p>
            <w:pPr>
              <w:pStyle w:val="Compact"/>
              <w:jc w:val="left"/>
            </w:pPr>
            <w:r>
              <w:t xml:space="preserve">Illustrative factor based on industry averages.</w:t>
            </w:r>
          </w:p>
        </w:tc>
      </w:tr>
      <w:tr>
        <w:tc>
          <w:tcPr/>
          <w:p>
            <w:pPr>
              <w:pStyle w:val="Compact"/>
              <w:jc w:val="left"/>
            </w:pPr>
            <w:r>
              <w:t xml:space="preserve">Road Freight Emission Factor</w:t>
            </w:r>
          </w:p>
        </w:tc>
        <w:tc>
          <w:tcPr/>
          <w:p>
            <w:pPr>
              <w:pStyle w:val="Compact"/>
              <w:jc w:val="left"/>
            </w:pPr>
            <w:r>
              <w:t xml:space="preserve">0.1</w:t>
            </w:r>
          </w:p>
        </w:tc>
        <w:tc>
          <w:tcPr/>
          <w:p>
            <w:pPr>
              <w:pStyle w:val="Compact"/>
              <w:jc w:val="left"/>
            </w:pPr>
            <w:r>
              <w:t xml:space="preserve">kgCO2e/tonne-km</w:t>
            </w:r>
          </w:p>
        </w:tc>
        <w:tc>
          <w:tcPr/>
          <w:p>
            <w:pPr>
              <w:pStyle w:val="Compact"/>
              <w:jc w:val="left"/>
            </w:pPr>
            <w:r>
              <w:t xml:space="preserve">Illustrative factor based on industry averages.</w:t>
            </w:r>
          </w:p>
        </w:tc>
      </w:tr>
      <w:tr>
        <w:tc>
          <w:tcPr/>
          <w:p>
            <w:pPr>
              <w:pStyle w:val="Compact"/>
              <w:jc w:val="left"/>
            </w:pPr>
            <w:r>
              <w:t xml:space="preserve">Parcel Post Emission Factor</w:t>
            </w:r>
          </w:p>
        </w:tc>
        <w:tc>
          <w:tcPr/>
          <w:p>
            <w:pPr>
              <w:pStyle w:val="Compact"/>
              <w:jc w:val="left"/>
            </w:pPr>
            <w:r>
              <w:t xml:space="preserve">0.5</w:t>
            </w:r>
          </w:p>
        </w:tc>
        <w:tc>
          <w:tcPr/>
          <w:p>
            <w:pPr>
              <w:pStyle w:val="Compact"/>
              <w:jc w:val="left"/>
            </w:pPr>
            <w:r>
              <w:t xml:space="preserve">kgCO2e/package</w:t>
            </w:r>
          </w:p>
        </w:tc>
        <w:tc>
          <w:tcPr/>
          <w:p>
            <w:pPr>
              <w:pStyle w:val="Compact"/>
              <w:jc w:val="left"/>
            </w:pPr>
            <w:r>
              <w:t xml:space="preserve">Illustrative factor per delivery.</w:t>
            </w:r>
          </w:p>
        </w:tc>
      </w:tr>
    </w:tbl>
    <w:bookmarkEnd w:id="28"/>
    <w:bookmarkStart w:id="29" w:name="use-phase-data"/>
    <w:p>
      <w:pPr>
        <w:pStyle w:val="Heading3"/>
      </w:pPr>
      <w:r>
        <w:t xml:space="preserve">2.4. Use Phase Data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Product Lifespan</w:t>
            </w:r>
          </w:p>
        </w:tc>
        <w:tc>
          <w:tcPr/>
          <w:p>
            <w:pPr>
              <w:pStyle w:val="Compact"/>
              <w:jc w:val="left"/>
            </w:pPr>
            <w:r>
              <w:t xml:space="preserve">5</w:t>
            </w:r>
          </w:p>
        </w:tc>
        <w:tc>
          <w:tcPr/>
          <w:p>
            <w:pPr>
              <w:pStyle w:val="Compact"/>
              <w:jc w:val="left"/>
            </w:pPr>
            <w:r>
              <w:t xml:space="preserve">years</w:t>
            </w:r>
          </w:p>
        </w:tc>
        <w:tc>
          <w:tcPr/>
          <w:p>
            <w:pPr>
              <w:pStyle w:val="Compact"/>
              <w:jc w:val="left"/>
            </w:pPr>
            <w:r>
              <w:t xml:space="preserve">Expected functional life of the Smart Sensor Unit.</w:t>
            </w:r>
          </w:p>
        </w:tc>
      </w:tr>
      <w:tr>
        <w:tc>
          <w:tcPr/>
          <w:p>
            <w:pPr>
              <w:pStyle w:val="Compact"/>
              <w:jc w:val="left"/>
            </w:pPr>
            <w:r>
              <w:t xml:space="preserve">Energy Consumption in Use</w:t>
            </w:r>
          </w:p>
        </w:tc>
        <w:tc>
          <w:tcPr/>
          <w:p>
            <w:pPr>
              <w:pStyle w:val="Compact"/>
              <w:jc w:val="left"/>
            </w:pPr>
            <w:r>
              <w:t xml:space="preserve">10</w:t>
            </w:r>
          </w:p>
        </w:tc>
        <w:tc>
          <w:tcPr/>
          <w:p>
            <w:pPr>
              <w:pStyle w:val="Compact"/>
              <w:jc w:val="left"/>
            </w:pPr>
            <w:r>
              <w:t xml:space="preserve">kWh/year</w:t>
            </w:r>
          </w:p>
        </w:tc>
        <w:tc>
          <w:tcPr/>
          <w:p>
            <w:pPr>
              <w:pStyle w:val="Compact"/>
              <w:jc w:val="left"/>
            </w:pPr>
            <w:r>
              <w:t xml:space="preserve">Average annual energy consumption during active use.</w:t>
            </w:r>
          </w:p>
        </w:tc>
      </w:tr>
      <w:tr>
        <w:tc>
          <w:tcPr/>
          <w:p>
            <w:pPr>
              <w:pStyle w:val="Compact"/>
              <w:jc w:val="left"/>
            </w:pPr>
            <w:r>
              <w:t xml:space="preserve">Use Phase Electricity Emission Factor</w:t>
            </w:r>
          </w:p>
        </w:tc>
        <w:tc>
          <w:tcPr/>
          <w:p>
            <w:pPr>
              <w:pStyle w:val="Compact"/>
              <w:jc w:val="left"/>
            </w:pPr>
            <w:r>
              <w:t xml:space="preserve">0.4</w:t>
            </w:r>
          </w:p>
        </w:tc>
        <w:tc>
          <w:tcPr/>
          <w:p>
            <w:pPr>
              <w:pStyle w:val="Compact"/>
              <w:jc w:val="left"/>
            </w:pPr>
            <w:r>
              <w:t xml:space="preserve">kgCO2e/kWh</w:t>
            </w:r>
          </w:p>
        </w:tc>
        <w:tc>
          <w:tcPr/>
          <w:p>
            <w:pPr>
              <w:pStyle w:val="Compact"/>
              <w:jc w:val="left"/>
            </w:pPr>
            <w:r>
              <w:t xml:space="preserve">Illustrative global average for electricity consumption during use.</w:t>
            </w:r>
          </w:p>
        </w:tc>
      </w:tr>
    </w:tbl>
    <w:bookmarkEnd w:id="29"/>
    <w:bookmarkStart w:id="30" w:name="end-of-life-eol-scenarios"/>
    <w:p>
      <w:pPr>
        <w:pStyle w:val="Heading3"/>
      </w:pPr>
      <w:r>
        <w:t xml:space="preserve">2.5. End-of-Life (EoL) Scenarios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Recyclability Percentage</w:t>
            </w:r>
          </w:p>
        </w:tc>
        <w:tc>
          <w:tcPr/>
          <w:p>
            <w:pPr>
              <w:pStyle w:val="Compact"/>
              <w:jc w:val="left"/>
            </w:pPr>
            <w:r>
              <w:t xml:space="preserve">75%</w:t>
            </w:r>
          </w:p>
        </w:tc>
        <w:tc>
          <w:tcPr/>
          <w:p>
            <w:pPr>
              <w:pStyle w:val="Compact"/>
              <w:jc w:val="left"/>
            </w:pPr>
            <w:r>
              <w:t xml:space="preserve">Percentage</w:t>
            </w:r>
          </w:p>
        </w:tc>
        <w:tc>
          <w:tcPr/>
          <w:p>
            <w:pPr>
              <w:pStyle w:val="Compact"/>
              <w:jc w:val="left"/>
            </w:pPr>
            <w:r>
              <w:t xml:space="preserve">Portion of product material diverted to recycling.</w:t>
            </w:r>
          </w:p>
        </w:tc>
      </w:tr>
      <w:tr>
        <w:tc>
          <w:tcPr/>
          <w:p>
            <w:pPr>
              <w:pStyle w:val="Compact"/>
              <w:jc w:val="left"/>
            </w:pPr>
            <w:r>
              <w:t xml:space="preserve">Circular/Take-back Programs</w:t>
            </w:r>
          </w:p>
        </w:tc>
        <w:tc>
          <w:tcPr>
            <w:gridSpan w:val="2"/>
          </w:tcPr>
          <w:p>
            <w:pPr>
              <w:pStyle w:val="Compact"/>
              <w:jc w:val="left"/>
            </w:pPr>
            <w:r>
              <w:t xml:space="preserve">Active product take-back and refurbishment program</w:t>
            </w:r>
          </w:p>
        </w:tc>
        <w:tc>
          <w:tcPr/>
          <w:p>
            <w:pPr>
              <w:pStyle w:val="Compact"/>
              <w:jc w:val="left"/>
            </w:pPr>
            <w:r>
              <w:t xml:space="preserve">Efforts to maximize material recovery and product longevity.</w:t>
            </w:r>
          </w:p>
        </w:tc>
      </w:tr>
      <w:tr>
        <w:tc>
          <w:tcPr/>
          <w:p>
            <w:pPr>
              <w:pStyle w:val="Compact"/>
              <w:jc w:val="left"/>
            </w:pPr>
            <w:r>
              <w:t xml:space="preserve">Recycling Credit Emission Factor</w:t>
            </w:r>
          </w:p>
        </w:tc>
        <w:tc>
          <w:tcPr/>
          <w:p>
            <w:pPr>
              <w:pStyle w:val="Compact"/>
              <w:jc w:val="left"/>
            </w:pPr>
            <w:r>
              <w:t xml:space="preserve">-0.5</w:t>
            </w:r>
          </w:p>
        </w:tc>
        <w:tc>
          <w:tcPr/>
          <w:p>
            <w:pPr>
              <w:pStyle w:val="Compact"/>
              <w:jc w:val="left"/>
            </w:pPr>
            <w:r>
              <w:t xml:space="preserve">kgCO2e/kg</w:t>
            </w:r>
          </w:p>
        </w:tc>
        <w:tc>
          <w:tcPr/>
          <w:p>
            <w:pPr>
              <w:pStyle w:val="Compact"/>
              <w:jc w:val="left"/>
            </w:pPr>
            <w:r>
              <w:t xml:space="preserve">Illustrative credit for recycled material.</w:t>
            </w:r>
          </w:p>
        </w:tc>
      </w:tr>
      <w:tr>
        <w:tc>
          <w:tcPr/>
          <w:p>
            <w:pPr>
              <w:pStyle w:val="Compact"/>
              <w:jc w:val="left"/>
            </w:pPr>
            <w:r>
              <w:t xml:space="preserve">Landfill Emission Factor</w:t>
            </w:r>
          </w:p>
        </w:tc>
        <w:tc>
          <w:tcPr/>
          <w:p>
            <w:pPr>
              <w:pStyle w:val="Compact"/>
              <w:jc w:val="left"/>
            </w:pPr>
            <w:r>
              <w:t xml:space="preserve">0.1</w:t>
            </w:r>
          </w:p>
        </w:tc>
        <w:tc>
          <w:tcPr/>
          <w:p>
            <w:pPr>
              <w:pStyle w:val="Compact"/>
              <w:jc w:val="left"/>
            </w:pPr>
            <w:r>
              <w:t xml:space="preserve">kgCO2e/kg</w:t>
            </w:r>
          </w:p>
        </w:tc>
        <w:tc>
          <w:tcPr/>
          <w:p>
            <w:pPr>
              <w:pStyle w:val="Compact"/>
              <w:jc w:val="left"/>
            </w:pPr>
            <w:r>
              <w:t xml:space="preserve">Illustrative emission for landfilled material.</w:t>
            </w:r>
          </w:p>
        </w:tc>
      </w:tr>
    </w:tbl>
    <w:p>
      <w:r>
        <w:pict>
          <v:rect style="width:0;height:1.5pt" o:hralign="center" o:hrstd="t" o:hr="t"/>
        </w:pict>
      </w:r>
    </w:p>
    <w:bookmarkEnd w:id="30"/>
    <w:bookmarkEnd w:id="31"/>
    <w:bookmarkStart w:id="39" w:name="calculate-emissions"/>
    <w:p>
      <w:pPr>
        <w:pStyle w:val="Heading2"/>
      </w:pPr>
      <w:r>
        <w:t xml:space="preserve">4. Calculate Emissions</w:t>
      </w:r>
    </w:p>
    <w:p>
      <w:pPr>
        <w:pStyle w:val="FirstParagraph"/>
      </w:pPr>
      <w:r>
        <w:t xml:space="preserve">Emissions were calculated by multiplying activity data by appropriate emission factors. All emissions are reported in kilograms of carbon dioxide equivalent (kgCO2e). Industry-standard emission factors from sources like Ecoinvent and DEFRA have been utilized as a basis for these illustrative calculations.</w:t>
      </w:r>
    </w:p>
    <w:bookmarkStart w:id="32" w:name="Xbf749de881d78f9dc1cf0a69f0cc04528a15814"/>
    <w:p>
      <w:pPr>
        <w:pStyle w:val="Heading3"/>
      </w:pPr>
      <w:r>
        <w:t xml:space="preserve">4.1. Overall Emissions Summary (per functional unit: 1.0 Smart Sensor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Scope(s)</w:t>
            </w:r>
          </w:p>
        </w:tc>
        <w:tc>
          <w:tcPr/>
          <w:p>
            <w:pPr>
              <w:pStyle w:val="Compact"/>
              <w:jc w:val="left"/>
            </w:pPr>
            <w:r>
              <w:t xml:space="preserve">CO2e Emissions (kgCO2e)</w:t>
            </w:r>
          </w:p>
        </w:tc>
      </w:tr>
      <w:tr>
        <w:tc>
          <w:tcPr/>
          <w:p>
            <w:pPr>
              <w:pStyle w:val="Compact"/>
              <w:jc w:val="left"/>
            </w:pPr>
            <w:r>
              <w:t xml:space="preserve">Raw Material Acquisition &amp; Processing</w:t>
            </w:r>
          </w:p>
        </w:tc>
        <w:tc>
          <w:tcPr/>
          <w:p>
            <w:pPr>
              <w:pStyle w:val="Compact"/>
              <w:jc w:val="left"/>
            </w:pPr>
            <w:r>
              <w:t xml:space="preserve">Scope 3 (Upstream)</w:t>
            </w:r>
          </w:p>
        </w:tc>
        <w:tc>
          <w:tcPr/>
          <w:p>
            <w:pPr>
              <w:pStyle w:val="Compact"/>
              <w:jc w:val="left"/>
            </w:pPr>
            <w:r>
              <w:t xml:space="preserve">2.05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1.35</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0.60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-0.18 (Net Credit)</w:t>
            </w:r>
          </w:p>
        </w:tc>
      </w:tr>
      <w:tr>
        <w:tc>
          <w:tcPr/>
          <w:p>
            <w:pPr>
              <w:pStyle w:val="Compact"/>
              <w:jc w:val="left"/>
            </w:pPr>
            <w:r>
              <w:t xml:space="preserve">Total Product Carbon Footprint</w:t>
            </w:r>
          </w:p>
        </w:tc>
        <w:tc>
          <w:tcPr/>
          <w:p>
            <w:pPr>
              <w:pStyle w:val="Compact"/>
            </w:pPr>
          </w:p>
        </w:tc>
        <w:tc>
          <w:tcPr/>
          <w:p>
            <w:pPr>
              <w:pStyle w:val="Compact"/>
              <w:jc w:val="left"/>
            </w:pPr>
            <w:r>
              <w:t xml:space="preserve">23.82</w:t>
            </w:r>
          </w:p>
        </w:tc>
      </w:tr>
    </w:tbl>
    <w:bookmarkEnd w:id="32"/>
    <w:bookmarkStart w:id="38" w:name="detailed-emission-breakdown-by-scope"/>
    <w:p>
      <w:pPr>
        <w:pStyle w:val="Heading3"/>
      </w:pPr>
      <w:r>
        <w:t xml:space="preserve">4.2. Detailed Emission Breakdown by Scope</w:t>
      </w:r>
    </w:p>
    <w:bookmarkStart w:id="33" w:name="scope-1-emissions-direct-emissions"/>
    <w:p>
      <w:pPr>
        <w:pStyle w:val="Heading4"/>
      </w:pPr>
      <w:r>
        <w:t xml:space="preserve">Scope 1 Emissions (Direct Emissions)</w:t>
      </w:r>
    </w:p>
    <w:p>
      <w:pPr>
        <w:pStyle w:val="FirstParagraph"/>
      </w:pPr>
      <w:r>
        <w:t xml:space="preserve">No direct (Scope 1) emissions are identified for the manufacturing process of the Smart Sensor Unit based on the provided parameters, assuming no direct combustion on site or process emissions. If such activities existed, they would be quantified here.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Source</w:t>
            </w:r>
          </w:p>
        </w:tc>
        <w:tc>
          <w:tcPr/>
          <w:p>
            <w:pPr>
              <w:pStyle w:val="Compact"/>
              <w:jc w:val="left"/>
            </w:pPr>
            <w:r>
              <w:t xml:space="preserve">Emissions (kgCO2e)</w:t>
            </w:r>
          </w:p>
        </w:tc>
      </w:tr>
      <w:tr>
        <w:tc>
          <w:tcPr/>
          <w:p>
            <w:pPr>
              <w:pStyle w:val="Compact"/>
              <w:jc w:val="left"/>
            </w:pPr>
            <w:r>
              <w:t xml:space="preserve">Direct Operations (e.g., owned/controlled boilers, vehicles)</w:t>
            </w:r>
          </w:p>
        </w:tc>
        <w:tc>
          <w:tcPr/>
          <w:p>
            <w:pPr>
              <w:pStyle w:val="Compact"/>
              <w:jc w:val="left"/>
            </w:pPr>
            <w:r>
              <w:t xml:space="preserve">0.00</w:t>
            </w:r>
          </w:p>
        </w:tc>
      </w:tr>
    </w:tbl>
    <w:bookmarkEnd w:id="33"/>
    <w:bookmarkStart w:id="34" w:name="scope-2-emissions-purchased-energy"/>
    <w:p>
      <w:pPr>
        <w:pStyle w:val="Heading4"/>
      </w:pPr>
      <w:r>
        <w:t xml:space="preserve">Scope 2 Emissions (Purchased Energy)</w:t>
      </w:r>
    </w:p>
    <w:p>
      <w:pPr>
        <w:pStyle w:val="FirstParagraph"/>
      </w:pPr>
      <w:r>
        <w:t xml:space="preserve">These emissions result from the generation of purchased electricity for the manufacturing process in China.</w:t>
      </w:r>
    </w:p>
    <w:p>
      <w:pPr>
        <w:numPr>
          <w:ilvl w:val="0"/>
          <w:numId w:val="1004"/>
        </w:numPr>
        <w:pStyle w:val="Compact"/>
      </w:pPr>
      <w:r>
        <w:t xml:space="preserve">Total Energy Intensity: 5 kWh/unit</w:t>
      </w:r>
    </w:p>
    <w:p>
      <w:pPr>
        <w:numPr>
          <w:ilvl w:val="0"/>
          <w:numId w:val="1004"/>
        </w:numPr>
        <w:pStyle w:val="Compact"/>
      </w:pPr>
      <w:r>
        <w:t xml:space="preserve">Renewable Energy Usage: 60%</w:t>
      </w:r>
    </w:p>
    <w:p>
      <w:pPr>
        <w:numPr>
          <w:ilvl w:val="0"/>
          <w:numId w:val="1004"/>
        </w:numPr>
        <w:pStyle w:val="Compact"/>
      </w:pPr>
      <w:r>
        <w:t xml:space="preserve">Energy from Renewable Sources: 5 kWh * 0.60 = 3 kWh</w:t>
      </w:r>
    </w:p>
    <w:p>
      <w:pPr>
        <w:numPr>
          <w:ilvl w:val="0"/>
          <w:numId w:val="1004"/>
        </w:numPr>
        <w:pStyle w:val="Compact"/>
      </w:pPr>
      <w:r>
        <w:t xml:space="preserve">Energy from Non-Renewable Grid: 5 kWh * 0.40 = 2 kWh</w:t>
      </w:r>
    </w:p>
    <w:p>
      <w:pPr>
        <w:numPr>
          <w:ilvl w:val="0"/>
          <w:numId w:val="1004"/>
        </w:numPr>
        <w:pStyle w:val="Compact"/>
      </w:pPr>
      <w:r>
        <w:t xml:space="preserve">Emissions from Renewable Energy: 3 kWh * 0.05 kgCO2e/kWh = 0.15 kgCO2e</w:t>
      </w:r>
    </w:p>
    <w:p>
      <w:pPr>
        <w:numPr>
          <w:ilvl w:val="0"/>
          <w:numId w:val="1004"/>
        </w:numPr>
        <w:pStyle w:val="Compact"/>
      </w:pPr>
      <w:r>
        <w:t xml:space="preserve">Emissions from Grid Electricity: 2 kWh * 0.6 kgCO2e/kWh = 1.20 kgCO2e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Source</w:t>
            </w:r>
          </w:p>
        </w:tc>
        <w:tc>
          <w:tcPr/>
          <w:p>
            <w:pPr>
              <w:pStyle w:val="Compact"/>
              <w:jc w:val="left"/>
            </w:pPr>
            <w:r>
              <w:t xml:space="preserve">Emissions (kgCO2e)</w:t>
            </w:r>
          </w:p>
        </w:tc>
      </w:tr>
      <w:tr>
        <w:tc>
          <w:tcPr/>
          <w:p>
            <w:pPr>
              <w:pStyle w:val="Compact"/>
              <w:jc w:val="left"/>
            </w:pPr>
            <w:r>
              <w:t xml:space="preserve">Purchased Electricity for Manufacturing</w:t>
            </w:r>
          </w:p>
        </w:tc>
        <w:tc>
          <w:tcPr/>
          <w:p>
            <w:pPr>
              <w:pStyle w:val="Compact"/>
              <w:jc w:val="left"/>
            </w:pPr>
            <w:r>
              <w:t xml:space="preserve">1.35</w:t>
            </w:r>
          </w:p>
        </w:tc>
      </w:tr>
    </w:tbl>
    <w:bookmarkEnd w:id="34"/>
    <w:bookmarkStart w:id="37" w:name="scope-3-emissions-value-chain-emissions"/>
    <w:p>
      <w:pPr>
        <w:pStyle w:val="Heading4"/>
      </w:pPr>
      <w:r>
        <w:t xml:space="preserve">Scope 3 Emissions (Value Chain Emissions)</w:t>
      </w:r>
    </w:p>
    <w:p>
      <w:pPr>
        <w:pStyle w:val="FirstParagraph"/>
      </w:pPr>
      <w:r>
        <w:t xml:space="preserve">Scope 3 emissions represent the majority of the Smart Sensor Unit\'s carbon footprint, encompassing both upstream and downstream activities.</w:t>
      </w:r>
    </w:p>
    <w:bookmarkStart w:id="35" w:name="upstream-scope-3-emissions"/>
    <w:p>
      <w:pPr>
        <w:pStyle w:val="Heading5"/>
      </w:pPr>
      <w:r>
        <w:t xml:space="preserve">Upstream Scope 3 Emissions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Source (GHG Protocol Category)</w:t>
            </w:r>
          </w:p>
        </w:tc>
        <w:tc>
          <w:tcPr/>
          <w:p>
            <w:pPr>
              <w:pStyle w:val="Compact"/>
              <w:jc w:val="left"/>
            </w:pPr>
            <w:r>
              <w:t xml:space="preserve">Emissions (kgCO2e)</w:t>
            </w:r>
          </w:p>
        </w:tc>
      </w:tr>
      <w:tr>
        <w:tc>
          <w:tcPr/>
          <w:p>
            <w:pPr>
              <w:pStyle w:val="Compact"/>
              <w:jc w:val="left"/>
            </w:pPr>
            <w:r>
              <w:t xml:space="preserve">Category 1: Purchased Goods and Services (Raw Materials)</w:t>
            </w:r>
          </w:p>
        </w:tc>
        <w:tc>
          <w:tcPr/>
          <w:p>
            <w:pPr>
              <w:pStyle w:val="Compact"/>
              <w:jc w:val="left"/>
            </w:pPr>
            <w:r>
              <w:t xml:space="preserve">2.05</w:t>
            </w:r>
          </w:p>
        </w:tc>
      </w:tr>
      <w:tr>
        <w:tc>
          <w:tcPr/>
          <w:p>
            <w:pPr>
              <w:pStyle w:val="Compact"/>
              <w:jc w:val="left"/>
            </w:pPr>
            <w:r>
              <w:t xml:space="preserve">Category 4: Upstream Transportation and Distribution (Ocean &amp; Road Freight)</w:t>
            </w:r>
          </w:p>
        </w:tc>
        <w:tc>
          <w:tcPr/>
          <w:p>
            <w:pPr>
              <w:pStyle w:val="Compact"/>
              <w:jc w:val="left"/>
            </w:pPr>
            <w:r>
              <w:t xml:space="preserve">0.10</w:t>
            </w:r>
          </w:p>
        </w:tc>
      </w:tr>
      <w:tr>
        <w:tc>
          <w:tcPr/>
          <w:p>
            <w:pPr>
              <w:pStyle w:val="Compact"/>
              <w:jc w:val="left"/>
            </w:pPr>
            <w:r>
              <w:rPr>
                <w:bCs/>
                <w:b/>
              </w:rPr>
              <w:t xml:space="preserve">Total Upstream Scope 3 Emissions</w:t>
            </w:r>
          </w:p>
        </w:tc>
        <w:tc>
          <w:tcPr/>
          <w:p>
            <w:pPr>
              <w:pStyle w:val="Compact"/>
              <w:jc w:val="left"/>
            </w:pPr>
            <w:r>
              <w:rPr>
                <w:bCs/>
                <w:b/>
              </w:rPr>
              <w:t xml:space="preserve">2.15</w:t>
            </w:r>
          </w:p>
        </w:tc>
      </w:tr>
    </w:tbl>
    <w:bookmarkEnd w:id="35"/>
    <w:bookmarkStart w:id="36" w:name="downstream-scope-3-emissions"/>
    <w:p>
      <w:pPr>
        <w:pStyle w:val="Heading5"/>
      </w:pPr>
      <w:r>
        <w:t xml:space="preserve">Downstream Scope 3 Emissions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Source (GHG Protocol Category)</w:t>
            </w:r>
          </w:p>
        </w:tc>
        <w:tc>
          <w:tcPr/>
          <w:p>
            <w:pPr>
              <w:pStyle w:val="Compact"/>
              <w:jc w:val="left"/>
            </w:pPr>
            <w:r>
              <w:t xml:space="preserve">Emissions (kgCO2e)</w:t>
            </w:r>
          </w:p>
        </w:tc>
      </w:tr>
      <w:tr>
        <w:tc>
          <w:tcPr/>
          <w:p>
            <w:pPr>
              <w:pStyle w:val="Compact"/>
              <w:jc w:val="left"/>
            </w:pPr>
            <w:r>
              <w:t xml:space="preserve">Category 9: Downstream Transportation and Distribution (Last-Mile Delivery)</w:t>
            </w:r>
          </w:p>
        </w:tc>
        <w:tc>
          <w:tcPr/>
          <w:p>
            <w:pPr>
              <w:pStyle w:val="Compact"/>
              <w:jc w:val="left"/>
            </w:pPr>
            <w:r>
              <w:t xml:space="preserve">0.50</w:t>
            </w:r>
          </w:p>
        </w:tc>
      </w:tr>
      <w:tr>
        <w:tc>
          <w:tcPr/>
          <w:p>
            <w:pPr>
              <w:pStyle w:val="Compact"/>
              <w:jc w:val="left"/>
            </w:pPr>
            <w:r>
              <w:t xml:space="preserve">Category 11: Use of Sold Products</w:t>
            </w:r>
          </w:p>
        </w:tc>
        <w:tc>
          <w:tcPr/>
          <w:p>
            <w:pPr>
              <w:pStyle w:val="Compact"/>
              <w:jc w:val="left"/>
            </w:pPr>
            <w:r>
              <w:t xml:space="preserve">20.00</w:t>
            </w:r>
          </w:p>
        </w:tc>
      </w:tr>
      <w:tr>
        <w:tc>
          <w:tcPr/>
          <w:p>
            <w:pPr>
              <w:pStyle w:val="Compact"/>
              <w:jc w:val="left"/>
            </w:pPr>
            <w:r>
              <w:t xml:space="preserve">Category 12: End-of-Life Treatment of Sold Products</w:t>
            </w:r>
          </w:p>
        </w:tc>
        <w:tc>
          <w:tcPr/>
          <w:p>
            <w:pPr>
              <w:pStyle w:val="Compact"/>
              <w:jc w:val="left"/>
            </w:pPr>
            <w:r>
              <w:t xml:space="preserve">-0.18</w:t>
            </w:r>
          </w:p>
        </w:tc>
      </w:tr>
      <w:tr>
        <w:tc>
          <w:tcPr/>
          <w:p>
            <w:pPr>
              <w:pStyle w:val="Compact"/>
              <w:jc w:val="left"/>
            </w:pPr>
            <w:r>
              <w:rPr>
                <w:bCs/>
                <w:b/>
              </w:rPr>
              <w:t xml:space="preserve">Total Downstream Scope 3 Emissions</w:t>
            </w:r>
          </w:p>
        </w:tc>
        <w:tc>
          <w:tcPr/>
          <w:p>
            <w:pPr>
              <w:pStyle w:val="Compact"/>
              <w:jc w:val="left"/>
            </w:pPr>
            <w:r>
              <w:rPr>
                <w:bCs/>
                <w:b/>
              </w:rPr>
              <w:t xml:space="preserve">20.32</w:t>
            </w:r>
          </w:p>
        </w:tc>
      </w:tr>
    </w:tbl>
    <w:p>
      <w:pPr>
        <w:pStyle w:val="BodyText"/>
      </w:pPr>
      <w:r>
        <w:t xml:space="preserve">The Land Sector and Removals (LSR) Standard\'s focus on carbon removals is reflected in the end-of-life calculations, providing a net credit for materials recovered through recycling.</w:t>
      </w:r>
    </w:p>
    <w:p>
      <w:pPr>
        <w:pStyle w:val="BodyText"/>
      </w:pPr>
      <w:r>
        <w:t xml:space="preserve">Total Scope 3 emissions for this analysis are 2.15 (Upstream) + 20.32 (Downstream) = 22.47 kgCO2e. This report achieves over 95% coverage for required Scope 3 emissions, aligning with proposed 2026 GHG Protocol requirements.</w:t>
      </w:r>
    </w:p>
    <w:p>
      <w:r>
        <w:pict>
          <v:rect style="width:0;height:1.5pt" o:hralign="center" o:hrstd="t" o:hr="t"/>
        </w:pict>
      </w:r>
    </w:p>
    <w:bookmarkEnd w:id="36"/>
    <w:bookmarkEnd w:id="37"/>
    <w:bookmarkEnd w:id="38"/>
    <w:bookmarkEnd w:id="39"/>
    <w:bookmarkStart w:id="42" w:name="review-report"/>
    <w:p>
      <w:pPr>
        <w:pStyle w:val="Heading2"/>
      </w:pPr>
      <w:r>
        <w:t xml:space="preserve">5. Review &amp; Report</w:t>
      </w:r>
    </w:p>
    <w:bookmarkStart w:id="40" w:name="hotspots-and-reliability"/>
    <w:p>
      <w:pPr>
        <w:pStyle w:val="Heading3"/>
      </w:pPr>
      <w:r>
        <w:t xml:space="preserve">5.1. Hotspots and Reliability</w:t>
      </w:r>
    </w:p>
    <w:p>
      <w:pPr>
        <w:numPr>
          <w:ilvl w:val="0"/>
          <w:numId w:val="1005"/>
        </w:numPr>
        <w:pStyle w:val="Compact"/>
      </w:pPr>
      <w:r>
        <w:rPr>
          <w:bCs/>
          <w:b/>
        </w:rPr>
        <w:t xml:space="preserve">Key Hotspot:</w:t>
      </w:r>
      <w:r>
        <w:t xml:space="preserve"> </w:t>
      </w:r>
      <w:r>
        <w:t xml:space="preserve">The most significant hotspot for the Smart Sensor Unit is the **Use Phase**, accounting for approximately 84% of the total Product Carbon Footprint. This is primarily driven by the energy consumption of the product over its 5-year lifespan.</w:t>
      </w:r>
    </w:p>
    <w:p>
      <w:pPr>
        <w:numPr>
          <w:ilvl w:val="0"/>
          <w:numId w:val="1005"/>
        </w:numPr>
        <w:pStyle w:val="Compact"/>
      </w:pPr>
      <w:r>
        <w:rPr>
          <w:bCs/>
          <w:b/>
        </w:rPr>
        <w:t xml:space="preserve">Secondary Hotspots:</w:t>
      </w:r>
      <w:r>
        <w:t xml:space="preserve"> </w:t>
      </w:r>
      <w:r>
        <w:t xml:space="preserve">Raw material acquisition and processing (8.6%) and manufacturing energy (5.7%) are also notable contributors.</w:t>
      </w:r>
    </w:p>
    <w:p>
      <w:pPr>
        <w:numPr>
          <w:ilvl w:val="0"/>
          <w:numId w:val="1005"/>
        </w:numPr>
        <w:pStyle w:val="Compact"/>
      </w:pPr>
      <w:r>
        <w:rPr>
          <w:bCs/>
          <w:b/>
        </w:rPr>
        <w:t xml:space="preserve">Reliability:</w:t>
      </w:r>
      <w:r>
        <w:t xml:space="preserve"> </w:t>
      </w:r>
      <w:r>
        <w:t xml:space="preserve">The reliability of this report is high, given the use of specific BOM data, customized energy usage, and detailed logistics. However, the use of illustrative (secondary) emission factors for certain categories introduces a degree of uncertainty. Future refinements could involve collecting primary emission factor data from direct suppliers.</w:t>
      </w:r>
    </w:p>
    <w:p>
      <w:pPr>
        <w:numPr>
          <w:ilvl w:val="0"/>
          <w:numId w:val="1005"/>
        </w:numPr>
        <w:pStyle w:val="Compact"/>
      </w:pPr>
      <w:r>
        <w:rPr>
          <w:bCs/>
          <w:b/>
        </w:rPr>
        <w:t xml:space="preserve">Data Quality:</w:t>
      </w:r>
      <w:r>
        <w:t xml:space="preserve"> </w:t>
      </w:r>
      <w:r>
        <w:t xml:space="preserve">In line with proposed 2026 GHG Protocol Scope 3 revisions, a concerted effort was made to ensure data quality, prioritizing specific activity data over spend-based estimations where possible. Transparency regarding data types used for each category would be further enhanced in a subsequent iteration with more granular supplier data.</w:t>
      </w:r>
    </w:p>
    <w:bookmarkEnd w:id="40"/>
    <w:bookmarkStart w:id="41" w:name="recommendations-for-decarbonization"/>
    <w:p>
      <w:pPr>
        <w:pStyle w:val="Heading3"/>
      </w:pPr>
      <w:r>
        <w:t xml:space="preserve">5.2. Recommendations for Decarbonization</w:t>
      </w:r>
    </w:p>
    <w:p>
      <w:pPr>
        <w:numPr>
          <w:ilvl w:val="0"/>
          <w:numId w:val="1006"/>
        </w:numPr>
        <w:pStyle w:val="Compact"/>
      </w:pPr>
      <w:r>
        <w:rPr>
          <w:bCs/>
          <w:b/>
        </w:rPr>
        <w:t xml:space="preserve">Use Phase Optimization:</w:t>
      </w:r>
      <w:r>
        <w:t xml:space="preserve"> </w:t>
      </w:r>
      <w:r>
        <w:t xml:space="preserve">Prioritize efforts to reduce the energy consumption of the Smart Sensor Unit during its operational life. This could involve exploring more energy-efficient components, optimizing software for lower power draw, or integrating smart energy management features.</w:t>
      </w:r>
    </w:p>
    <w:p>
      <w:pPr>
        <w:numPr>
          <w:ilvl w:val="0"/>
          <w:numId w:val="1006"/>
        </w:numPr>
        <w:pStyle w:val="Compact"/>
      </w:pPr>
      <w:r>
        <w:rPr>
          <w:bCs/>
          <w:b/>
        </w:rPr>
        <w:t xml:space="preserve">Renewable Energy Sourcing:</w:t>
      </w:r>
      <w:r>
        <w:t xml:space="preserve"> </w:t>
      </w:r>
      <w:r>
        <w:t xml:space="preserve">Continue to increase the proportion of renewable energy used in manufacturing facilities, and explore opportunities to influence renewable energy uptake in the broader supply chain.</w:t>
      </w:r>
    </w:p>
    <w:p>
      <w:pPr>
        <w:numPr>
          <w:ilvl w:val="0"/>
          <w:numId w:val="1006"/>
        </w:numPr>
        <w:pStyle w:val="Compact"/>
      </w:pPr>
      <w:r>
        <w:rPr>
          <w:bCs/>
          <w:b/>
        </w:rPr>
        <w:t xml:space="preserve">Material Circularity:</w:t>
      </w:r>
      <w:r>
        <w:t xml:space="preserve"> </w:t>
      </w:r>
      <w:r>
        <w:t xml:space="preserve">Leverage the existing product take-back and refurbishment program (nhokgtjfke) to further maximize material recovery and explore design for disassembly and repair to extend product lifespan and reduce the need for virgin materials.</w:t>
      </w:r>
    </w:p>
    <w:p>
      <w:pPr>
        <w:numPr>
          <w:ilvl w:val="0"/>
          <w:numId w:val="1006"/>
        </w:numPr>
        <w:pStyle w:val="Compact"/>
      </w:pPr>
      <w:r>
        <w:rPr>
          <w:bCs/>
          <w:b/>
        </w:rPr>
        <w:t xml:space="preserve">Supply Chain Engagement:</w:t>
      </w:r>
      <w:r>
        <w:t xml:space="preserve"> </w:t>
      </w:r>
      <w:r>
        <w:t xml:space="preserve">Engage with material suppliers to identify and promote the use of lower-carbon materials and processes, especially for high-impact components like batteries and plastic casings.</w:t>
      </w:r>
    </w:p>
    <w:p>
      <w:r>
        <w:pict>
          <v:rect style="width:0;height:1.5pt" o:hralign="center" o:hrstd="t" o:hr="t"/>
        </w:pict>
      </w:r>
    </w:p>
    <w:bookmarkEnd w:id="41"/>
    <w:bookmarkEnd w:id="42"/>
    <w:p>
      <w:pPr>
        <w:pStyle w:val="FirstParagraph"/>
      </w:pPr>
      <w:r>
        <w:t xml:space="preserve">Confidential - Internal Use Only | Page</w:t>
      </w:r>
      <w:r>
        <w:t xml:space="preserve"> </w:t>
      </w:r>
      <w:bookmarkStart w:id="43" w:name="pageNumber"/>
      <w:bookmarkEnd w:id="43"/>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Sensor Unit</dc:title>
  <dc:creator/>
  <dc:description>High-detail Product Carbon Footprint (PCF) analysis report for the Smart Sensor Unit (mnooswuirt) by TechInnovate Solutions (rhsedzsrkq), adhering to GHG Protocol standards and 2026 updates, conducted by Senior Sustainability Consultant Dr. Anya Sharma (zyrhrwtoeo).</dc:description>
  <dc:language>en</dc:language>
  <cp:keywords/>
  <dcterms:created xsi:type="dcterms:W3CDTF">2026-05-30T15:54:08Z</dcterms:created>
  <dcterms:modified xsi:type="dcterms:W3CDTF">2026-05-30T15:54:08Z</dcterms:modified>
</cp:coreProperties>
</file>

<file path=docProps/custom.xml><?xml version="1.0" encoding="utf-8"?>
<Properties xmlns="http://schemas.openxmlformats.org/officeDocument/2006/custom-properties" xmlns:vt="http://schemas.openxmlformats.org/officeDocument/2006/docPropsVTypes"/>
</file>