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Sensor</w:t>
      </w:r>
      <w:r>
        <w:t xml:space="preserve"> </w:t>
      </w:r>
      <w:r>
        <w:t xml:space="preserve">Unit</w:t>
      </w:r>
      <w:r>
        <w:t xml:space="preserve"> </w:t>
      </w:r>
      <w:r>
        <w:t xml:space="preserve">(dxuiturjhx)</w:t>
      </w:r>
    </w:p>
    <w:p>
      <w:pPr>
        <w:pStyle w:val="FirstParagraph"/>
      </w:pPr>
      <w:r>
        <w:t xml:space="preserve">carboncalcpcf.com</w:t>
      </w:r>
    </w:p>
    <w:bookmarkStart w:id="21" w:name="product-carbon-footprint-report"/>
    <w:p>
      <w:pPr>
        <w:pStyle w:val="Heading1"/>
      </w:pPr>
      <w:r>
        <w:t xml:space="preserve">Product Carbon Footprint Report</w:t>
      </w:r>
    </w:p>
    <w:bookmarkStart w:id="20" w:name="for-dxuiturjhx-smart-sensor-unit"/>
    <w:p>
      <w:pPr>
        <w:pStyle w:val="Heading2"/>
      </w:pPr>
      <w:r>
        <w:t xml:space="preserve">for dxuiturjhx: Smart Sensor Unit</w:t>
      </w:r>
    </w:p>
    <w:p>
      <w:pPr>
        <w:pStyle w:val="FirstParagraph"/>
      </w:pPr>
      <w:r>
        <w:rPr>
          <w:bCs/>
          <w:b/>
        </w:rPr>
        <w:t xml:space="preserve">Company Name:</w:t>
      </w:r>
      <w:r>
        <w:t xml:space="preserve"> </w:t>
      </w:r>
      <w:r>
        <w:t xml:space="preserve">szqfxgdmmo</w:t>
      </w:r>
    </w:p>
    <w:p>
      <w:pPr>
        <w:pStyle w:val="BodyText"/>
      </w:pPr>
      <w:r>
        <w:rPr>
          <w:bCs/>
          <w:b/>
        </w:rPr>
        <w:t xml:space="preserve">Senior Sustainability Consultant:</w:t>
      </w:r>
      <w:r>
        <w:t xml:space="preserve"> </w:t>
      </w:r>
      <w:r>
        <w:t xml:space="preserve">mxoytpqenm</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incorporating illustrative data where specific inputs were provided as placeholders. While every effort has been made to ensure accuracy and adherence to the GHG Protocol, actual results may vary based on primary data collection and ongoing methodology refinements.</w:t>
      </w:r>
    </w:p>
    <w:bookmarkEnd w:id="20"/>
    <w:bookmarkEnd w:id="21"/>
    <w:bookmarkStart w:id="23" w:name="product-carbon-footprint-analysis"/>
    <w:p>
      <w:pPr>
        <w:pStyle w:val="Heading1"/>
      </w:pPr>
      <w:r>
        <w:t xml:space="preserve">Product Carbon Footprint Analysis</w:t>
      </w:r>
    </w:p>
    <w:bookmarkStart w:id="22" w:name="dxuiturjhx-smart-sensor-unit"/>
    <w:p>
      <w:pPr>
        <w:pStyle w:val="Heading2"/>
      </w:pPr>
      <w:r>
        <w:t xml:space="preserve">dxuiturjhx: Smart Sensor Unit</w:t>
      </w:r>
    </w:p>
    <w:p>
      <w:pPr>
        <w:pStyle w:val="FirstParagraph"/>
      </w:pPr>
      <w:r>
        <w:t xml:space="preserve">Generated Date: May 18, 2026</w:t>
      </w:r>
    </w:p>
    <w:p>
      <w:pPr>
        <w:pStyle w:val="BodyText"/>
      </w:pPr>
      <w:r>
        <w:t xml:space="preserve">Consultant: mxoytpqenm, Senior Sustainability Consultant</w:t>
      </w:r>
    </w:p>
    <w:p>
      <w:pPr>
        <w:pStyle w:val="BodyText"/>
      </w:pPr>
      <w:r>
        <w:t xml:space="preserve">Company: szqfxgdmmo</w:t>
      </w:r>
    </w:p>
    <w:p>
      <w:pPr>
        <w:pStyle w:val="BodyText"/>
      </w:pPr>
      <w:r>
        <w:t xml:space="preserve">Accounting Standard: GHG Protocol</w:t>
      </w:r>
    </w:p>
    <w:bookmarkEnd w:id="22"/>
    <w:bookmarkEnd w:id="23"/>
    <w:p>
      <w:r>
        <w:pict>
          <v:rect style="width:0;height:1.5pt" o:hralign="center" o:hrstd="t" o:hr="t"/>
        </w:pict>
      </w:r>
    </w:p>
    <w:bookmarkStart w:id="24" w:name="executive-summary"/>
    <w:p>
      <w:pPr>
        <w:pStyle w:val="Heading2"/>
      </w:pPr>
      <w:r>
        <w:t xml:space="preserve">Executive Summary</w:t>
      </w:r>
    </w:p>
    <w:p>
      <w:pPr>
        <w:pStyle w:val="FirstParagraph"/>
      </w:pPr>
      <w:r>
        <w:t xml:space="preserve">This report presents a high-detail Product Carbon Footprint (PCF) analysis for the dxuiturjhx (Smart Sensor Unit) manufactured by szqfxgdmmo. Conducted by mxoytpqenm, a Senior Sustainability Consultant specializing in GHG Protocol, this analysis adheres to the GHG Protocol standard, including the 2026 Land Sector and Removals (LSR) Update and ensuring at least 95% Scope 3 coverage. The primary goal is to quantify the greenhouse gas emissions associated with the product across its lifecycle, identify emission hotspots, and provide insights for decarbonization efforts. The functional unit for this analysis is 1.0 unit of dxuiturjhx, with a system boundary defined as cradle-to-grave to encompass all relevant Scope 3 emissions, despite a \'factory_gate\' focus for direct production activities. All calculations are based on the provided parameters, specific bill of materials, logistics, energy data, and end-of-life scenarios, supplemented by industry-standard emission factors where primary data was unavailable or provided as placeholders.</w:t>
      </w:r>
    </w:p>
    <w:p>
      <w:r>
        <w:pict>
          <v:rect style="width:0;height:1.5pt" o:hralign="center" o:hrstd="t" o:hr="t"/>
        </w:pict>
      </w:r>
    </w:p>
    <w:bookmarkEnd w:id="24"/>
    <w:bookmarkStart w:id="30" w:name="methodology-and-scope-definition"/>
    <w:p>
      <w:pPr>
        <w:pStyle w:val="Heading2"/>
      </w:pPr>
      <w:r>
        <w:t xml:space="preserve">1. Methodology and Scope Definition</w:t>
      </w:r>
    </w:p>
    <w:p>
      <w:pPr>
        <w:pStyle w:val="FirstParagraph"/>
      </w:pPr>
      <w:r>
        <w:t xml:space="preserve">The Product Carbon Footprint (PCF) analysis for dxuiturjhx follows a comprehensive methodology in line with the GHG Protocol Product Standard. This approach ensures a systematic and robust quantification of greenhouse gas (GHG) emissions across the product\'s lifecycle.</w:t>
      </w:r>
    </w:p>
    <w:bookmarkStart w:id="25"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dxuiturjhx (Smart Sensor Unit)</w:t>
      </w:r>
      <w:r>
        <w:t xml:space="preserve">.</w:t>
      </w:r>
    </w:p>
    <w:bookmarkEnd w:id="25"/>
    <w:bookmarkStart w:id="26" w:name="system-boundary"/>
    <w:p>
      <w:pPr>
        <w:pStyle w:val="Heading3"/>
      </w:pPr>
      <w:r>
        <w:t xml:space="preserve">1.2. System Boundary</w:t>
      </w:r>
    </w:p>
    <w:p>
      <w:pPr>
        <w:pStyle w:val="FirstParagraph"/>
      </w:pPr>
      <w:r>
        <w:t xml:space="preserve">While the primary production focus is \'factory_gate\', to achieve the mandatory 95% Scope 3 coverage as per 2026 GHG Protocol requirements, the system boundary is extended to a</w:t>
      </w:r>
      <w:r>
        <w:t xml:space="preserve"> </w:t>
      </w:r>
      <w:r>
        <w:rPr>
          <w:bCs/>
          <w:b/>
        </w:rPr>
        <w:t xml:space="preserve">cradle-to-grave</w:t>
      </w:r>
      <w:r>
        <w:t xml:space="preserve"> </w:t>
      </w:r>
      <w:r>
        <w:t xml:space="preserve">scope. This includes:</w:t>
      </w:r>
    </w:p>
    <w:p>
      <w:pPr>
        <w:numPr>
          <w:ilvl w:val="0"/>
          <w:numId w:val="1001"/>
        </w:numPr>
        <w:pStyle w:val="Compact"/>
      </w:pPr>
      <w:r>
        <w:rPr>
          <w:bCs/>
          <w:b/>
        </w:rPr>
        <w:t xml:space="preserve">Raw Material Acquisition &amp; Pre-processing (Upstream Scope 3):</w:t>
      </w:r>
      <w:r>
        <w:t xml:space="preserve"> </w:t>
      </w:r>
      <w:r>
        <w:t xml:space="preserve">Extraction, processing, and manufacturing of all materials listed in the Bill of Materials (BOM).</w:t>
      </w:r>
    </w:p>
    <w:p>
      <w:pPr>
        <w:numPr>
          <w:ilvl w:val="0"/>
          <w:numId w:val="1001"/>
        </w:numPr>
        <w:pStyle w:val="Compact"/>
      </w:pPr>
      <w:r>
        <w:rPr>
          <w:bCs/>
          <w:b/>
        </w:rPr>
        <w:t xml:space="preserve">Manufacturing (Scope 1 &amp; 2, and Upstream Scope 3):</w:t>
      </w:r>
      <w:r>
        <w:t xml:space="preserve"> </w:t>
      </w:r>
      <w:r>
        <w:t xml:space="preserve">Energy consumption, direct emissions from owned/controlled sources (Scope 1), purchased electricity (Scope 2), and upstream transport of materials to the factory.</w:t>
      </w:r>
    </w:p>
    <w:p>
      <w:pPr>
        <w:numPr>
          <w:ilvl w:val="0"/>
          <w:numId w:val="1001"/>
        </w:numPr>
        <w:pStyle w:val="Compact"/>
      </w:pPr>
      <w:r>
        <w:rPr>
          <w:bCs/>
          <w:b/>
        </w:rPr>
        <w:t xml:space="preserve">Transport &amp; Distribution (Upstream &amp; Downstream Scope 3):</w:t>
      </w:r>
      <w:r>
        <w:t xml:space="preserve"> </w:t>
      </w:r>
      <w:r>
        <w:t xml:space="preserve">Transport of raw materials to the manufacturing facility, and last-mile delivery of the finished product to the end-user.</w:t>
      </w:r>
    </w:p>
    <w:p>
      <w:pPr>
        <w:numPr>
          <w:ilvl w:val="0"/>
          <w:numId w:val="1001"/>
        </w:numPr>
        <w:pStyle w:val="Compact"/>
      </w:pPr>
      <w:r>
        <w:rPr>
          <w:bCs/>
          <w:b/>
        </w:rPr>
        <w:t xml:space="preserve">Use Phase (Downstream Scope 3):</w:t>
      </w:r>
      <w:r>
        <w:t xml:space="preserve"> </w:t>
      </w:r>
      <w:r>
        <w:t xml:space="preserve">Energy consumption during the typical lifespan of the product.</w:t>
      </w:r>
    </w:p>
    <w:p>
      <w:pPr>
        <w:numPr>
          <w:ilvl w:val="0"/>
          <w:numId w:val="1001"/>
        </w:numPr>
        <w:pStyle w:val="Compact"/>
      </w:pPr>
      <w:r>
        <w:rPr>
          <w:bCs/>
          <w:b/>
        </w:rPr>
        <w:t xml:space="preserve">End-of-Life (Downstream Scope 3):</w:t>
      </w:r>
      <w:r>
        <w:t xml:space="preserve"> </w:t>
      </w:r>
      <w:r>
        <w:t xml:space="preserve">Disposal, recycling, and recovery processes for the product components.</w:t>
      </w:r>
    </w:p>
    <w:bookmarkEnd w:id="26"/>
    <w:bookmarkStart w:id="27" w:name="geographic-scope"/>
    <w:p>
      <w:pPr>
        <w:pStyle w:val="Heading3"/>
      </w:pPr>
      <w:r>
        <w:t xml:space="preserve">1.3. Geographic Scope</w:t>
      </w:r>
    </w:p>
    <w:p>
      <w:pPr>
        <w:pStyle w:val="FirstParagraph"/>
      </w:pPr>
      <w:r>
        <w:t xml:space="preserve">The</w:t>
      </w:r>
      <w:r>
        <w:t xml:space="preserve"> </w:t>
      </w:r>
      <w:r>
        <w:rPr>
          <w:bCs/>
          <w:b/>
        </w:rPr>
        <w:t xml:space="preserve">Final Production Country is China</w:t>
      </w:r>
      <w:r>
        <w:t xml:space="preserve">, with a</w:t>
      </w:r>
      <w:r>
        <w:t xml:space="preserve"> </w:t>
      </w:r>
      <w:r>
        <w:rPr>
          <w:bCs/>
          <w:b/>
        </w:rPr>
        <w:t xml:space="preserve">Supply Chain Focus on Europe</w:t>
      </w:r>
      <w:r>
        <w:t xml:space="preserve"> </w:t>
      </w:r>
      <w:r>
        <w:t xml:space="preserve">for upstream and downstream activities where relevant. The use phase is assumed to occur primarily within Europe, influencing the electricity grid mix for use phase calculations.</w:t>
      </w:r>
    </w:p>
    <w:bookmarkEnd w:id="27"/>
    <w:bookmarkStart w:id="28" w:name="allocation"/>
    <w:p>
      <w:pPr>
        <w:pStyle w:val="Heading3"/>
      </w:pPr>
      <w:r>
        <w:t xml:space="preserve">1.4. Allocation</w:t>
      </w:r>
    </w:p>
    <w:p>
      <w:pPr>
        <w:pStyle w:val="FirstParagraph"/>
      </w:pPr>
      <w:r>
        <w:t xml:space="preserve">For this single product PCF, direct attribution is used for all material and energy inputs. No allocation across co-products is required.</w:t>
      </w:r>
    </w:p>
    <w:bookmarkEnd w:id="28"/>
    <w:bookmarkStart w:id="29" w:name="accounting-standard"/>
    <w:p>
      <w:pPr>
        <w:pStyle w:val="Heading3"/>
      </w:pPr>
      <w:r>
        <w:t xml:space="preserve">1.5. Accounting Standard</w:t>
      </w:r>
    </w:p>
    <w:p>
      <w:pPr>
        <w:pStyle w:val="FirstParagraph"/>
      </w:pPr>
      <w:r>
        <w:t xml:space="preserve">This analysis strictly adheres to the</w:t>
      </w:r>
      <w:r>
        <w:t xml:space="preserve"> </w:t>
      </w:r>
      <w:r>
        <w:rPr>
          <w:bCs/>
          <w:b/>
        </w:rPr>
        <w:t xml:space="preserve">GHG Protocol Product Standard</w:t>
      </w:r>
      <w:r>
        <w:t xml:space="preserve">, incorporating the 2026 Land Sector and Removals (LSR) Update for relevant land-use aspects and ensuring comprehensive Scope 3 coverage.</w:t>
      </w:r>
    </w:p>
    <w:p>
      <w:r>
        <w:pict>
          <v:rect style="width:0;height:1.5pt" o:hralign="center" o:hrstd="t" o:hr="t"/>
        </w:pict>
      </w:r>
    </w:p>
    <w:bookmarkEnd w:id="29"/>
    <w:bookmarkEnd w:id="30"/>
    <w:bookmarkStart w:id="34" w:name="X939a47aef72a4a28c08ea406bdad185696e1f66"/>
    <w:p>
      <w:pPr>
        <w:pStyle w:val="Heading2"/>
      </w:pPr>
      <w:r>
        <w:t xml:space="preserve">2. Lifecycle Inventory (LCI) and Data Collection</w:t>
      </w:r>
    </w:p>
    <w:p>
      <w:pPr>
        <w:pStyle w:val="FirstParagraph"/>
      </w:pPr>
      <w:r>
        <w:t xml:space="preserve">This section details the inputs and outputs across the product\'s lifecycle stages, outlining the data collection approach, including primary data provided and secondary data assumptions for emission factors.</w:t>
      </w:r>
    </w:p>
    <w:bookmarkStart w:id="31" w:name="data-assumptions-and-placeholder-values"/>
    <w:p>
      <w:pPr>
        <w:pStyle w:val="Heading3"/>
      </w:pPr>
      <w:r>
        <w:t xml:space="preserve">2.1. Data Assumptions and Placeholder Values</w:t>
      </w:r>
    </w:p>
    <w:p>
      <w:pPr>
        <w:pStyle w:val="FirstParagraph"/>
      </w:pPr>
      <w:r>
        <w:t xml:space="preserve">The following parameters were provided as string placeholders. For the purpose of this detailed analysis, realistic illustrative values have been assumed as outlined below:</w:t>
      </w:r>
    </w:p>
    <w:p>
      <w:pPr>
        <w:numPr>
          <w:ilvl w:val="0"/>
          <w:numId w:val="1002"/>
        </w:numPr>
        <w:pStyle w:val="Compact"/>
      </w:pPr>
      <w:r>
        <w:rPr>
          <w:bCs/>
          <w:b/>
        </w:rPr>
        <w:t xml:space="preserve">Product Name (dxuiturjhx):</w:t>
      </w:r>
      <w:r>
        <w:t xml:space="preserve"> </w:t>
      </w:r>
      <w:r>
        <w:t xml:space="preserve">Smart Sensor Unit</w:t>
      </w:r>
    </w:p>
    <w:p>
      <w:pPr>
        <w:numPr>
          <w:ilvl w:val="0"/>
          <w:numId w:val="1002"/>
        </w:numPr>
        <w:pStyle w:val="Compact"/>
      </w:pPr>
      <w:r>
        <w:rPr>
          <w:bCs/>
          <w:b/>
        </w:rPr>
        <w:t xml:space="preserve">Transport Mode (Select Mode):</w:t>
      </w:r>
      <w:r>
        <w:t xml:space="preserve"> </w:t>
      </w:r>
      <w:r>
        <w:t xml:space="preserve">Upstream: Sea freight (global components), Road freight (HGV &gt; 16t, within China/Europe). Downstream: Road freight (Light Commercial Van) for last-mile delivery.</w:t>
      </w:r>
    </w:p>
    <w:p>
      <w:pPr>
        <w:numPr>
          <w:ilvl w:val="0"/>
          <w:numId w:val="1002"/>
        </w:numPr>
        <w:pStyle w:val="Compact"/>
      </w:pPr>
      <w:r>
        <w:rPr>
          <w:bCs/>
          <w:b/>
        </w:rPr>
        <w:t xml:space="preserve">Transport Distance (uufngykqwy):</w:t>
      </w:r>
      <w:r>
        <w:t xml:space="preserve"> </w:t>
      </w:r>
      <w:r>
        <w:t xml:space="preserve">Upstream (Sea): 10,000 km; Upstream (Road to China factory): 500 km; Downstream (Last-mile to user): 200 km.</w:t>
      </w:r>
    </w:p>
    <w:p>
      <w:pPr>
        <w:numPr>
          <w:ilvl w:val="0"/>
          <w:numId w:val="1002"/>
        </w:numPr>
        <w:pStyle w:val="Compact"/>
      </w:pPr>
      <w:r>
        <w:rPr>
          <w:bCs/>
          <w:b/>
        </w:rPr>
        <w:t xml:space="preserve">Renewable Energy Usage (oxjqdnkyfj):</w:t>
      </w:r>
      <w:r>
        <w:t xml:space="preserve"> </w:t>
      </w:r>
      <w:r>
        <w:t xml:space="preserve">50% at the production facility.</w:t>
      </w:r>
    </w:p>
    <w:p>
      <w:pPr>
        <w:numPr>
          <w:ilvl w:val="0"/>
          <w:numId w:val="1002"/>
        </w:numPr>
        <w:pStyle w:val="Compact"/>
      </w:pPr>
      <w:r>
        <w:rPr>
          <w:bCs/>
          <w:b/>
        </w:rPr>
        <w:t xml:space="preserve">Energy Intensity (kWh/unit) (nhvodouurz):</w:t>
      </w:r>
      <w:r>
        <w:t xml:space="preserve"> </w:t>
      </w:r>
      <w:r>
        <w:t xml:space="preserve">10 kWh/unit for the production phase.</w:t>
      </w:r>
    </w:p>
    <w:p>
      <w:pPr>
        <w:numPr>
          <w:ilvl w:val="0"/>
          <w:numId w:val="1002"/>
        </w:numPr>
        <w:pStyle w:val="Compact"/>
      </w:pPr>
      <w:r>
        <w:rPr>
          <w:bCs/>
          <w:b/>
        </w:rPr>
        <w:t xml:space="preserve">Product Lifespan (nmfedkxyld):</w:t>
      </w:r>
      <w:r>
        <w:t xml:space="preserve"> </w:t>
      </w:r>
      <w:r>
        <w:t xml:space="preserve">5 years.</w:t>
      </w:r>
    </w:p>
    <w:p>
      <w:pPr>
        <w:numPr>
          <w:ilvl w:val="0"/>
          <w:numId w:val="1002"/>
        </w:numPr>
        <w:pStyle w:val="Compact"/>
      </w:pPr>
      <w:r>
        <w:rPr>
          <w:bCs/>
          <w:b/>
        </w:rPr>
        <w:t xml:space="preserve">Energy Consumption in Use (fdfsyorhnr):</w:t>
      </w:r>
      <w:r>
        <w:t xml:space="preserve"> </w:t>
      </w:r>
      <w:r>
        <w:t xml:space="preserve">20 kWh/year.</w:t>
      </w:r>
    </w:p>
    <w:p>
      <w:pPr>
        <w:numPr>
          <w:ilvl w:val="0"/>
          <w:numId w:val="1002"/>
        </w:numPr>
        <w:pStyle w:val="Compact"/>
      </w:pPr>
      <w:r>
        <w:rPr>
          <w:bCs/>
          <w:b/>
        </w:rPr>
        <w:t xml:space="preserve">Recyclability Percentage (dhmuirhggt):</w:t>
      </w:r>
      <w:r>
        <w:t xml:space="preserve"> </w:t>
      </w:r>
      <w:r>
        <w:t xml:space="preserve">70%.</w:t>
      </w:r>
    </w:p>
    <w:p>
      <w:pPr>
        <w:numPr>
          <w:ilvl w:val="0"/>
          <w:numId w:val="1002"/>
        </w:numPr>
        <w:pStyle w:val="Compact"/>
      </w:pPr>
      <w:r>
        <w:rPr>
          <w:bCs/>
          <w:b/>
        </w:rPr>
        <w:t xml:space="preserve">Circular/Take-back Programs (rwmsvylyfm):</w:t>
      </w:r>
      <w:r>
        <w:t xml:space="preserve"> </w:t>
      </w:r>
      <w:r>
        <w:t xml:space="preserve">Yes, established take-back program for key components.</w:t>
      </w:r>
    </w:p>
    <w:bookmarkEnd w:id="31"/>
    <w:bookmarkStart w:id="32" w:name="Xfa35923f4041d67482939306f804f65baf24392"/>
    <w:p>
      <w:pPr>
        <w:pStyle w:val="Heading3"/>
      </w:pPr>
      <w:r>
        <w:t xml:space="preserve">2.2. Detailed Bill of Materials (BOM) - igfpwlhm</w:t>
      </w:r>
    </w:p>
    <w:p>
      <w:pPr>
        <w:pStyle w:val="FirstParagraph"/>
      </w:pPr>
      <w:r>
        <w:t xml:space="preserve">The following detailed Bill of Materials (BOM) for dxuiturjhx has been utilized. As the provided \'igfpwlhm\' was a placeholder, a representative BOM with specific details (ID, Description, Category, Process, Qty, Unit, Emission Factor, Total Carbon) has been generated to fulfill the high-accuracy material impact calculation requirement.</w:t>
      </w:r>
    </w:p>
    <w:p>
      <w:pPr>
        <w:pStyle w:val="BodyText"/>
      </w:pPr>
      <w:r>
        <w:rPr>
          <w:iCs/>
          <w:i/>
        </w:rPr>
        <w:t xml:space="preserve">Note: The Emission Factor and Total Carbon for each item in this table are illustrative and would typically be sourced from validated lifecycle inventory databases (e.g., Ecoinvent, GaBi, DEFRA) in a real-world scenario.</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0.50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Semiconductor Chips</w:t>
            </w:r>
          </w:p>
        </w:tc>
        <w:tc>
          <w:tcPr/>
          <w:p>
            <w:pPr>
              <w:pStyle w:val="Compact"/>
              <w:jc w:val="left"/>
            </w:pPr>
            <w:r>
              <w:t xml:space="preserve">Electronics</w:t>
            </w:r>
          </w:p>
        </w:tc>
        <w:tc>
          <w:tcPr/>
          <w:p>
            <w:pPr>
              <w:pStyle w:val="Compact"/>
              <w:jc w:val="left"/>
            </w:pPr>
            <w:r>
              <w:t xml:space="preserve">Chip Manufacturing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100.00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Li-ion Battery</w:t>
            </w:r>
          </w:p>
        </w:tc>
        <w:tc>
          <w:tcPr/>
          <w:p>
            <w:pPr>
              <w:pStyle w:val="Compact"/>
              <w:jc w:val="left"/>
            </w:pPr>
            <w:r>
              <w:t xml:space="preserve">Energy Storage</w:t>
            </w:r>
          </w:p>
        </w:tc>
        <w:tc>
          <w:tcPr/>
          <w:p>
            <w:pPr>
              <w:pStyle w:val="Compact"/>
              <w:jc w:val="left"/>
            </w:pPr>
            <w:r>
              <w:t xml:space="preserve">Battery Production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17.00</w:t>
            </w:r>
          </w:p>
        </w:tc>
        <w:tc>
          <w:tcPr/>
          <w:p>
            <w:pPr>
              <w:pStyle w:val="Compact"/>
              <w:jc w:val="left"/>
            </w:pPr>
            <w:r>
              <w:t xml:space="preserve">0.51</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w:t>
            </w:r>
          </w:p>
        </w:tc>
      </w:tr>
      <w:tr>
        <w:tc>
          <w:tcPr/>
          <w:p>
            <w:pPr>
              <w:pStyle w:val="Compact"/>
              <w:jc w:val="left"/>
            </w:pPr>
            <w:r>
              <w:t xml:space="preserve">M006</w:t>
            </w:r>
          </w:p>
        </w:tc>
        <w:tc>
          <w:tcPr/>
          <w:p>
            <w:pPr>
              <w:pStyle w:val="Compact"/>
              <w:jc w:val="left"/>
            </w:pPr>
            <w:r>
              <w:t xml:space="preserve">Connectors (Mixed Metals)</w:t>
            </w:r>
          </w:p>
        </w:tc>
        <w:tc>
          <w:tcPr/>
          <w:p>
            <w:pPr>
              <w:pStyle w:val="Compact"/>
              <w:jc w:val="left"/>
            </w:pPr>
            <w:r>
              <w:t xml:space="preserve">Metals</w:t>
            </w:r>
          </w:p>
        </w:tc>
        <w:tc>
          <w:tcPr/>
          <w:p>
            <w:pPr>
              <w:pStyle w:val="Compact"/>
              <w:jc w:val="left"/>
            </w:pPr>
            <w:r>
              <w:t xml:space="preserve">Assembly</w:t>
            </w:r>
          </w:p>
        </w:tc>
        <w:tc>
          <w:tcPr/>
          <w:p>
            <w:pPr>
              <w:pStyle w:val="Compact"/>
              <w:jc w:val="left"/>
            </w:pPr>
            <w:r>
              <w:t xml:space="preserve">0.01</w:t>
            </w:r>
          </w:p>
        </w:tc>
        <w:tc>
          <w:tcPr/>
          <w:p>
            <w:pPr>
              <w:pStyle w:val="Compact"/>
              <w:jc w:val="left"/>
            </w:pPr>
            <w:r>
              <w:t xml:space="preserve">kg</w:t>
            </w:r>
          </w:p>
        </w:tc>
        <w:tc>
          <w:tcPr/>
          <w:p>
            <w:pPr>
              <w:pStyle w:val="Compact"/>
              <w:jc w:val="left"/>
            </w:pPr>
            <w:r>
              <w:t xml:space="preserve">6.00</w:t>
            </w:r>
          </w:p>
        </w:tc>
        <w:tc>
          <w:tcPr/>
          <w:p>
            <w:pPr>
              <w:pStyle w:val="Compact"/>
              <w:jc w:val="left"/>
            </w:pPr>
            <w:r>
              <w:t xml:space="preserve">0.06</w:t>
            </w:r>
          </w:p>
        </w:tc>
      </w:tr>
      <w:tr>
        <w:tc>
          <w:tcPr/>
          <w:p>
            <w:pPr>
              <w:pStyle w:val="Compact"/>
              <w:jc w:val="left"/>
            </w:pPr>
            <w:r>
              <w:t xml:space="preserve">M007</w:t>
            </w:r>
          </w:p>
        </w:tc>
        <w:tc>
          <w:tcPr/>
          <w:p>
            <w:pPr>
              <w:pStyle w:val="Compact"/>
              <w:jc w:val="left"/>
            </w:pPr>
            <w:r>
              <w:t xml:space="preserve">Packaging (Recycled Cardboard)</w:t>
            </w:r>
          </w:p>
        </w:tc>
        <w:tc>
          <w:tcPr/>
          <w:p>
            <w:pPr>
              <w:pStyle w:val="Compact"/>
              <w:jc w:val="left"/>
            </w:pPr>
            <w:r>
              <w:t xml:space="preserve">Paper/Board</w:t>
            </w:r>
          </w:p>
        </w:tc>
        <w:tc>
          <w:tcPr/>
          <w:p>
            <w:pPr>
              <w:pStyle w:val="Compact"/>
              <w:jc w:val="left"/>
            </w:pPr>
            <w:r>
              <w:t xml:space="preserve">Board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0.04</w:t>
            </w:r>
          </w:p>
        </w:tc>
      </w:tr>
      <w:tr>
        <w:tc>
          <w:tcPr>
            <w:gridSpan w:val="7"/>
          </w:tcPr>
          <w:p>
            <w:pPr>
              <w:pStyle w:val="Compact"/>
              <w:jc w:val="right"/>
            </w:pPr>
            <w:r>
              <w:rPr>
                <w:bCs/>
                <w:b/>
              </w:rPr>
              <w:t xml:space="preserve">Total Material Emissions (Upstream Scope 3)</w:t>
            </w:r>
          </w:p>
        </w:tc>
        <w:tc>
          <w:tcPr/>
          <w:p>
            <w:pPr>
              <w:pStyle w:val="Compact"/>
              <w:jc w:val="left"/>
            </w:pPr>
            <w:r>
              <w:rPr>
                <w:bCs/>
                <w:b/>
              </w:rPr>
              <w:t xml:space="preserve">2.94</w:t>
            </w:r>
          </w:p>
        </w:tc>
      </w:tr>
    </w:tbl>
    <w:bookmarkEnd w:id="32"/>
    <w:bookmarkStart w:id="33" w:name="energy-inputs-and-emission-factors"/>
    <w:p>
      <w:pPr>
        <w:pStyle w:val="Heading3"/>
      </w:pPr>
      <w:r>
        <w:t xml:space="preserve">2.3. Energy Inputs and Emission Factors</w:t>
      </w:r>
    </w:p>
    <w:p>
      <w:pPr>
        <w:pStyle w:val="FirstParagraph"/>
      </w:pPr>
      <w:r>
        <w:t xml:space="preserve">Emission factors used for calculations are based on industry-standard sources (illustrative values where specific databases are not accessible in this context).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Emission Factor</w:t>
            </w:r>
          </w:p>
        </w:tc>
        <w:tc>
          <w:tcPr/>
          <w:p>
            <w:pPr>
              <w:pStyle w:val="Compact"/>
              <w:jc w:val="left"/>
            </w:pPr>
            <w:r>
              <w:t xml:space="preserve">Unit</w:t>
            </w:r>
          </w:p>
        </w:tc>
        <w:tc>
          <w:tcPr/>
          <w:p>
            <w:pPr>
              <w:pStyle w:val="Compact"/>
              <w:jc w:val="left"/>
            </w:pPr>
            <w:r>
              <w:t xml:space="preserve">Source/Assumption</w:t>
            </w:r>
          </w:p>
        </w:tc>
      </w:tr>
      <w:tr>
        <w:tc>
          <w:tcPr/>
          <w:p>
            <w:pPr>
              <w:pStyle w:val="Compact"/>
              <w:jc w:val="left"/>
            </w:pPr>
            <w:r>
              <w:t xml:space="preserve">Electricity (China Grid Mix, production)</w:t>
            </w:r>
          </w:p>
        </w:tc>
        <w:tc>
          <w:tcPr/>
          <w:p>
            <w:pPr>
              <w:pStyle w:val="Compact"/>
              <w:jc w:val="left"/>
            </w:pPr>
            <w:r>
              <w:t xml:space="preserve">0.60</w:t>
            </w:r>
          </w:p>
        </w:tc>
        <w:tc>
          <w:tcPr/>
          <w:p>
            <w:pPr>
              <w:pStyle w:val="Compact"/>
              <w:jc w:val="left"/>
            </w:pPr>
            <w:r>
              <w:t xml:space="preserve">kg CO2e/kWh</w:t>
            </w:r>
          </w:p>
        </w:tc>
        <w:tc>
          <w:tcPr/>
          <w:p>
            <w:pPr>
              <w:pStyle w:val="Compact"/>
              <w:jc w:val="left"/>
            </w:pPr>
            <w:r>
              <w:t xml:space="preserve">IEA 2023 / Illustrative</w:t>
            </w:r>
          </w:p>
        </w:tc>
      </w:tr>
      <w:tr>
        <w:tc>
          <w:tcPr/>
          <w:p>
            <w:pPr>
              <w:pStyle w:val="Compact"/>
              <w:jc w:val="left"/>
            </w:pPr>
            <w:r>
              <w:t xml:space="preserve">Electricity (European Grid Mix, use phase)</w:t>
            </w:r>
          </w:p>
        </w:tc>
        <w:tc>
          <w:tcPr/>
          <w:p>
            <w:pPr>
              <w:pStyle w:val="Compact"/>
              <w:jc w:val="left"/>
            </w:pPr>
            <w:r>
              <w:t xml:space="preserve">0.30</w:t>
            </w:r>
          </w:p>
        </w:tc>
        <w:tc>
          <w:tcPr/>
          <w:p>
            <w:pPr>
              <w:pStyle w:val="Compact"/>
              <w:jc w:val="left"/>
            </w:pPr>
            <w:r>
              <w:t xml:space="preserve">kg CO2e/kWh</w:t>
            </w:r>
          </w:p>
        </w:tc>
        <w:tc>
          <w:tcPr/>
          <w:p>
            <w:pPr>
              <w:pStyle w:val="Compact"/>
              <w:jc w:val="left"/>
            </w:pPr>
            <w:r>
              <w:t xml:space="preserve">EEA 2023 / Illustrative</w:t>
            </w:r>
          </w:p>
        </w:tc>
      </w:tr>
      <w:tr>
        <w:tc>
          <w:tcPr/>
          <w:p>
            <w:pPr>
              <w:pStyle w:val="Compact"/>
              <w:jc w:val="left"/>
            </w:pPr>
            <w:r>
              <w:t xml:space="preserve">Road Freight (HGV &gt; 16t)</w:t>
            </w:r>
          </w:p>
        </w:tc>
        <w:tc>
          <w:tcPr/>
          <w:p>
            <w:pPr>
              <w:pStyle w:val="Compact"/>
              <w:jc w:val="left"/>
            </w:pPr>
            <w:r>
              <w:t xml:space="preserve">0.10</w:t>
            </w:r>
          </w:p>
        </w:tc>
        <w:tc>
          <w:tcPr/>
          <w:p>
            <w:pPr>
              <w:pStyle w:val="Compact"/>
              <w:jc w:val="left"/>
            </w:pPr>
            <w:r>
              <w:t xml:space="preserve">kg CO2e/tkm</w:t>
            </w:r>
          </w:p>
        </w:tc>
        <w:tc>
          <w:tcPr/>
          <w:p>
            <w:pPr>
              <w:pStyle w:val="Compact"/>
              <w:jc w:val="left"/>
            </w:pPr>
            <w:r>
              <w:t xml:space="preserve">DEFRA 2023 / Illustrative</w:t>
            </w:r>
          </w:p>
        </w:tc>
      </w:tr>
      <w:tr>
        <w:tc>
          <w:tcPr/>
          <w:p>
            <w:pPr>
              <w:pStyle w:val="Compact"/>
              <w:jc w:val="left"/>
            </w:pPr>
            <w:r>
              <w:t xml:space="preserve">Sea Freight (Container Ship)</w:t>
            </w:r>
          </w:p>
        </w:tc>
        <w:tc>
          <w:tcPr/>
          <w:p>
            <w:pPr>
              <w:pStyle w:val="Compact"/>
              <w:jc w:val="left"/>
            </w:pPr>
            <w:r>
              <w:t xml:space="preserve">0.01</w:t>
            </w:r>
          </w:p>
        </w:tc>
        <w:tc>
          <w:tcPr/>
          <w:p>
            <w:pPr>
              <w:pStyle w:val="Compact"/>
              <w:jc w:val="left"/>
            </w:pPr>
            <w:r>
              <w:t xml:space="preserve">kg CO2e/tkm</w:t>
            </w:r>
          </w:p>
        </w:tc>
        <w:tc>
          <w:tcPr/>
          <w:p>
            <w:pPr>
              <w:pStyle w:val="Compact"/>
              <w:jc w:val="left"/>
            </w:pPr>
            <w:r>
              <w:t xml:space="preserve">DEFRA 2023 / Illustrative</w:t>
            </w:r>
          </w:p>
        </w:tc>
      </w:tr>
      <w:tr>
        <w:tc>
          <w:tcPr/>
          <w:p>
            <w:pPr>
              <w:pStyle w:val="Compact"/>
              <w:jc w:val="left"/>
            </w:pPr>
            <w:r>
              <w:t xml:space="preserve">Light Commercial Van (Last-mile)</w:t>
            </w:r>
          </w:p>
        </w:tc>
        <w:tc>
          <w:tcPr/>
          <w:p>
            <w:pPr>
              <w:pStyle w:val="Compact"/>
              <w:jc w:val="left"/>
            </w:pPr>
            <w:r>
              <w:t xml:space="preserve">0.30</w:t>
            </w:r>
          </w:p>
        </w:tc>
        <w:tc>
          <w:tcPr/>
          <w:p>
            <w:pPr>
              <w:pStyle w:val="Compact"/>
              <w:jc w:val="left"/>
            </w:pPr>
            <w:r>
              <w:t xml:space="preserve">kg CO2e/tkm</w:t>
            </w:r>
          </w:p>
        </w:tc>
        <w:tc>
          <w:tcPr/>
          <w:p>
            <w:pPr>
              <w:pStyle w:val="Compact"/>
              <w:jc w:val="left"/>
            </w:pPr>
            <w:r>
              <w:t xml:space="preserve">DEFRA 2023 / Illustrative</w:t>
            </w:r>
          </w:p>
        </w:tc>
      </w:tr>
      <w:tr>
        <w:tc>
          <w:tcPr/>
          <w:p>
            <w:pPr>
              <w:pStyle w:val="Compact"/>
              <w:jc w:val="left"/>
            </w:pPr>
            <w:r>
              <w:t xml:space="preserve">Waste to Landfill (Mixed)</w:t>
            </w:r>
          </w:p>
        </w:tc>
        <w:tc>
          <w:tcPr/>
          <w:p>
            <w:pPr>
              <w:pStyle w:val="Compact"/>
              <w:jc w:val="left"/>
            </w:pPr>
            <w:r>
              <w:t xml:space="preserve">0.20</w:t>
            </w:r>
          </w:p>
        </w:tc>
        <w:tc>
          <w:tcPr/>
          <w:p>
            <w:pPr>
              <w:pStyle w:val="Compact"/>
              <w:jc w:val="left"/>
            </w:pPr>
            <w:r>
              <w:t xml:space="preserve">kg CO2e/kg</w:t>
            </w:r>
          </w:p>
        </w:tc>
        <w:tc>
          <w:tcPr/>
          <w:p>
            <w:pPr>
              <w:pStyle w:val="Compact"/>
              <w:jc w:val="left"/>
            </w:pPr>
            <w:r>
              <w:t xml:space="preserve">Ecoinvent / Illustrative</w:t>
            </w:r>
          </w:p>
        </w:tc>
      </w:tr>
      <w:tr>
        <w:tc>
          <w:tcPr/>
          <w:p>
            <w:pPr>
              <w:pStyle w:val="Compact"/>
              <w:jc w:val="left"/>
            </w:pPr>
            <w:r>
              <w:t xml:space="preserve">Recycling (Avoided Emissions Credit)</w:t>
            </w:r>
          </w:p>
        </w:tc>
        <w:tc>
          <w:tcPr/>
          <w:p>
            <w:pPr>
              <w:pStyle w:val="Compact"/>
              <w:jc w:val="left"/>
            </w:pPr>
            <w:r>
              <w:t xml:space="preserve">-1.00</w:t>
            </w:r>
          </w:p>
        </w:tc>
        <w:tc>
          <w:tcPr/>
          <w:p>
            <w:pPr>
              <w:pStyle w:val="Compact"/>
              <w:jc w:val="left"/>
            </w:pPr>
            <w:r>
              <w:t xml:space="preserve">kg CO2e/kg (average)</w:t>
            </w:r>
          </w:p>
        </w:tc>
        <w:tc>
          <w:tcPr/>
          <w:p>
            <w:pPr>
              <w:pStyle w:val="Compact"/>
              <w:jc w:val="left"/>
            </w:pPr>
            <w:r>
              <w:t xml:space="preserve">Ecoinvent / Illustrative</w:t>
            </w:r>
          </w:p>
        </w:tc>
      </w:tr>
    </w:tbl>
    <w:p>
      <w:r>
        <w:pict>
          <v:rect style="width:0;height:1.5pt" o:hralign="center" o:hrstd="t" o:hr="t"/>
        </w:pict>
      </w:r>
    </w:p>
    <w:bookmarkEnd w:id="33"/>
    <w:bookmarkEnd w:id="34"/>
    <w:bookmarkStart w:id="49" w:name="X2c62247db19834934c44c209ad423fe06ba5c64"/>
    <w:p>
      <w:pPr>
        <w:pStyle w:val="Heading2"/>
      </w:pPr>
      <w:r>
        <w:t xml:space="preserve">3. Calculation of Emissions (Activity * Emission Factor = CO2e)</w:t>
      </w:r>
    </w:p>
    <w:p>
      <w:pPr>
        <w:pStyle w:val="FirstParagraph"/>
      </w:pPr>
      <w:r>
        <w:t xml:space="preserve">Emissions are categorized according to the GHG Protocol into Scope 1 (direct emissions), Scope 2 (purchased electricity, heat, or steam), and Scope 3 (all other indirect emissions in the value chain). The following calculations are based on a functional unit of 1.0 unit of dxuiturjhx.</w:t>
      </w:r>
    </w:p>
    <w:bookmarkStart w:id="35" w:name="scope-1-emissions-direct-emissions"/>
    <w:p>
      <w:pPr>
        <w:pStyle w:val="Heading3"/>
      </w:pPr>
      <w:r>
        <w:t xml:space="preserve">3.1. Scope 1 Emissions (Direct Emissions)</w:t>
      </w:r>
    </w:p>
    <w:p>
      <w:pPr>
        <w:pStyle w:val="FirstParagraph"/>
      </w:pPr>
      <w:r>
        <w:t xml:space="preserve">For a typical electronic product manufacturing process, direct Scope 1 emissions (e.g., from burning natural gas in boilers) are often minimal compared to electricity consumption and upstream material impacts. For this analysis, and without specific fuel consumption data, Scope 1 emissions at the factory are assumed to be negligible for the functional unit. In a real-world scenario, this would include fugitive emissions or direct combustion if applicable.</w:t>
      </w:r>
    </w:p>
    <w:p>
      <w:pPr>
        <w:numPr>
          <w:ilvl w:val="0"/>
          <w:numId w:val="1003"/>
        </w:numPr>
        <w:pStyle w:val="Compact"/>
      </w:pPr>
      <w:r>
        <w:rPr>
          <w:bCs/>
          <w:b/>
        </w:rPr>
        <w:t xml:space="preserve">Total Scope 1 Emissions: 0.00 kg CO2e</w:t>
      </w:r>
    </w:p>
    <w:bookmarkEnd w:id="35"/>
    <w:bookmarkStart w:id="36" w:name="scope-2-emissions-purchased-energy"/>
    <w:p>
      <w:pPr>
        <w:pStyle w:val="Heading3"/>
      </w:pPr>
      <w:r>
        <w:t xml:space="preserve">3.2. Scope 2 Emissions (Purchased Energy)</w:t>
      </w:r>
    </w:p>
    <w:p>
      <w:pPr>
        <w:pStyle w:val="FirstParagraph"/>
      </w:pPr>
      <w:r>
        <w:t xml:space="preserve">These emissions arise from the generation of purchased electricity consumed during the product\'s manufacturing phase in China.</w:t>
      </w:r>
    </w:p>
    <w:p>
      <w:pPr>
        <w:numPr>
          <w:ilvl w:val="0"/>
          <w:numId w:val="1004"/>
        </w:numPr>
        <w:pStyle w:val="Compact"/>
      </w:pPr>
      <w:r>
        <w:t xml:space="preserve">Energy Intensity (nhvodouurz): 10 kWh/unit</w:t>
      </w:r>
    </w:p>
    <w:p>
      <w:pPr>
        <w:numPr>
          <w:ilvl w:val="0"/>
          <w:numId w:val="1004"/>
        </w:numPr>
        <w:pStyle w:val="Compact"/>
      </w:pPr>
      <w:r>
        <w:t xml:space="preserve">Renewable Energy Usage (oxjqdnkyfj): 50%</w:t>
      </w:r>
    </w:p>
    <w:p>
      <w:pPr>
        <w:numPr>
          <w:ilvl w:val="0"/>
          <w:numId w:val="1004"/>
        </w:numPr>
        <w:pStyle w:val="Compact"/>
      </w:pPr>
      <w:r>
        <w:t xml:space="preserve">Grid Electricity Emission Factor (China): 0.60 kg CO2e/kWh</w:t>
      </w:r>
    </w:p>
    <w:p>
      <w:pPr>
        <w:numPr>
          <w:ilvl w:val="0"/>
          <w:numId w:val="1004"/>
        </w:numPr>
        <w:pStyle w:val="Compact"/>
      </w:pPr>
      <w:r>
        <w:t xml:space="preserve">Non-renewable electricity consumption: 10 kWh/unit * (1 - 0.50) = 5 kWh/unit</w:t>
      </w:r>
    </w:p>
    <w:p>
      <w:pPr>
        <w:numPr>
          <w:ilvl w:val="0"/>
          <w:numId w:val="1004"/>
        </w:numPr>
        <w:pStyle w:val="Compact"/>
      </w:pPr>
      <w:r>
        <w:t xml:space="preserve">Scope 2 Emissions: 5 kWh/unit * 0.60 kg CO2e/kWh =</w:t>
      </w:r>
      <w:r>
        <w:t xml:space="preserve"> </w:t>
      </w:r>
      <w:r>
        <w:rPr>
          <w:bCs/>
          <w:b/>
        </w:rPr>
        <w:t xml:space="preserve">3.00 kg CO2e</w:t>
      </w:r>
    </w:p>
    <w:p>
      <w:pPr>
        <w:numPr>
          <w:ilvl w:val="0"/>
          <w:numId w:val="1005"/>
        </w:numPr>
        <w:pStyle w:val="Compact"/>
      </w:pPr>
      <w:r>
        <w:rPr>
          <w:bCs/>
          <w:b/>
        </w:rPr>
        <w:t xml:space="preserve">Total Scope 2 Emissions: 3.00 kg CO2e</w:t>
      </w:r>
    </w:p>
    <w:bookmarkEnd w:id="36"/>
    <w:bookmarkStart w:id="45" w:name="scope-3-emissions-value-chain-emissions"/>
    <w:p>
      <w:pPr>
        <w:pStyle w:val="Heading3"/>
      </w:pPr>
      <w:r>
        <w:t xml:space="preserve">3.3. Scope 3 Emissions (Value Chain Emissions)</w:t>
      </w:r>
    </w:p>
    <w:p>
      <w:pPr>
        <w:pStyle w:val="FirstParagraph"/>
      </w:pPr>
      <w:r>
        <w:t xml:space="preserve">Scope 3 emissions are typically the largest contributor to a product\'s carbon footprint, covering both upstream and downstream activities.</w:t>
      </w:r>
    </w:p>
    <w:bookmarkStart w:id="39" w:name="upstream-emissions"/>
    <w:p>
      <w:pPr>
        <w:pStyle w:val="Heading4"/>
      </w:pPr>
      <w:r>
        <w:t xml:space="preserve">3.3.1. Upstream Emissions</w:t>
      </w:r>
    </w:p>
    <w:bookmarkStart w:id="37" w:name="X927fbd517bdc60d669d2f57402a6dfc4c869428"/>
    <w:p>
      <w:pPr>
        <w:pStyle w:val="Heading5"/>
      </w:pPr>
      <w:r>
        <w:t xml:space="preserve">Material Acquisition &amp; Pre-processing (Category 1)</w:t>
      </w:r>
    </w:p>
    <w:p>
      <w:pPr>
        <w:pStyle w:val="FirstParagraph"/>
      </w:pPr>
      <w:r>
        <w:t xml:space="preserve">Based on the detailed BOM provided in Section 2.2:</w:t>
      </w:r>
    </w:p>
    <w:p>
      <w:pPr>
        <w:numPr>
          <w:ilvl w:val="0"/>
          <w:numId w:val="1006"/>
        </w:numPr>
        <w:pStyle w:val="Compact"/>
      </w:pPr>
      <w:r>
        <w:rPr>
          <w:bCs/>
          <w:b/>
        </w:rPr>
        <w:t xml:space="preserve">Total Material Emissions: 2.94 kg CO2e</w:t>
      </w:r>
    </w:p>
    <w:bookmarkEnd w:id="37"/>
    <w:bookmarkStart w:id="38" w:name="X1ba14597aa58affb2f1bc7a69940c64f4addd9d"/>
    <w:p>
      <w:pPr>
        <w:pStyle w:val="Heading5"/>
      </w:pPr>
      <w:r>
        <w:t xml:space="preserve">Upstream Transportation and Distribution (Category 4)</w:t>
      </w:r>
    </w:p>
    <w:p>
      <w:pPr>
        <w:pStyle w:val="FirstParagraph"/>
      </w:pPr>
      <w:r>
        <w:t xml:space="preserve">Assuming an average weight of 0.4 kg for raw materials per unit, and accounting for the illustrative transport distances and modes:</w:t>
      </w:r>
    </w:p>
    <w:p>
      <w:pPr>
        <w:numPr>
          <w:ilvl w:val="0"/>
          <w:numId w:val="1007"/>
        </w:numPr>
        <w:pStyle w:val="Compact"/>
      </w:pPr>
      <w:r>
        <w:t xml:space="preserve">Upstream Sea Freight (e.g., components from Europe to China factory):</w:t>
      </w:r>
    </w:p>
    <w:p>
      <w:pPr>
        <w:numPr>
          <w:ilvl w:val="1"/>
          <w:numId w:val="1008"/>
        </w:numPr>
        <w:pStyle w:val="Compact"/>
      </w:pPr>
      <w:r>
        <w:t xml:space="preserve">Distance: 10,000 km</w:t>
      </w:r>
    </w:p>
    <w:p>
      <w:pPr>
        <w:numPr>
          <w:ilvl w:val="1"/>
          <w:numId w:val="1008"/>
        </w:numPr>
        <w:pStyle w:val="Compact"/>
      </w:pPr>
      <w:r>
        <w:t xml:space="preserve">Weight: 0.4 kg</w:t>
      </w:r>
    </w:p>
    <w:p>
      <w:pPr>
        <w:numPr>
          <w:ilvl w:val="1"/>
          <w:numId w:val="1008"/>
        </w:numPr>
        <w:pStyle w:val="Compact"/>
      </w:pPr>
      <w:r>
        <w:t xml:space="preserve">Emission Factor: 0.01 kg CO2e/tkm</w:t>
      </w:r>
    </w:p>
    <w:p>
      <w:pPr>
        <w:numPr>
          <w:ilvl w:val="1"/>
          <w:numId w:val="1008"/>
        </w:numPr>
        <w:pStyle w:val="Compact"/>
      </w:pPr>
      <w:r>
        <w:t xml:space="preserve">Emissions: 0.0004 tonnes * 10,000 km * 0.01 kg CO2e/tkm = 0.04 kg CO2e</w:t>
      </w:r>
    </w:p>
    <w:p>
      <w:pPr>
        <w:numPr>
          <w:ilvl w:val="0"/>
          <w:numId w:val="1007"/>
        </w:numPr>
        <w:pStyle w:val="Compact"/>
      </w:pPr>
      <w:r>
        <w:t xml:space="preserve">Upstream Road Freight (within China to factory):</w:t>
      </w:r>
    </w:p>
    <w:p>
      <w:pPr>
        <w:numPr>
          <w:ilvl w:val="1"/>
          <w:numId w:val="1009"/>
        </w:numPr>
        <w:pStyle w:val="Compact"/>
      </w:pPr>
      <w:r>
        <w:t xml:space="preserve">Distance: 500 km</w:t>
      </w:r>
    </w:p>
    <w:p>
      <w:pPr>
        <w:numPr>
          <w:ilvl w:val="1"/>
          <w:numId w:val="1009"/>
        </w:numPr>
        <w:pStyle w:val="Compact"/>
      </w:pPr>
      <w:r>
        <w:t xml:space="preserve">Weight: 0.4 kg</w:t>
      </w:r>
    </w:p>
    <w:p>
      <w:pPr>
        <w:numPr>
          <w:ilvl w:val="1"/>
          <w:numId w:val="1009"/>
        </w:numPr>
        <w:pStyle w:val="Compact"/>
      </w:pPr>
      <w:r>
        <w:t xml:space="preserve">Emission Factor: 0.10 kg CO2e/tkm</w:t>
      </w:r>
    </w:p>
    <w:p>
      <w:pPr>
        <w:numPr>
          <w:ilvl w:val="1"/>
          <w:numId w:val="1009"/>
        </w:numPr>
        <w:pStyle w:val="Compact"/>
      </w:pPr>
      <w:r>
        <w:t xml:space="preserve">Emissions: 0.0004 tonnes * 500 km * 0.10 kg CO2e/tkm = 0.02 kg CO2e</w:t>
      </w:r>
    </w:p>
    <w:p>
      <w:pPr>
        <w:numPr>
          <w:ilvl w:val="0"/>
          <w:numId w:val="1007"/>
        </w:numPr>
        <w:pStyle w:val="Compact"/>
      </w:pPr>
      <w:r>
        <w:rPr>
          <w:bCs/>
          <w:b/>
        </w:rPr>
        <w:t xml:space="preserve">Total Upstream Transport Emissions: 0.04 + 0.02 = 0.06 kg CO2e</w:t>
      </w:r>
    </w:p>
    <w:bookmarkEnd w:id="38"/>
    <w:bookmarkEnd w:id="39"/>
    <w:bookmarkStart w:id="43" w:name="downstream-emissions"/>
    <w:p>
      <w:pPr>
        <w:pStyle w:val="Heading4"/>
      </w:pPr>
      <w:r>
        <w:t xml:space="preserve">3.3.2. Downstream Emissions</w:t>
      </w:r>
    </w:p>
    <w:bookmarkStart w:id="40" w:name="Xe668f6459df5bad1f9b3bc071f2660fc2e73bc0"/>
    <w:p>
      <w:pPr>
        <w:pStyle w:val="Heading5"/>
      </w:pPr>
      <w:r>
        <w:t xml:space="preserve">Transportation and Distribution (Category 4) - Last-Mile Delivery</w:t>
      </w:r>
    </w:p>
    <w:p>
      <w:pPr>
        <w:pStyle w:val="FirstParagraph"/>
      </w:pPr>
      <w:r>
        <w:t xml:space="preserve">Last-mile delivery to the end-user in Europe.</w:t>
      </w:r>
    </w:p>
    <w:p>
      <w:pPr>
        <w:numPr>
          <w:ilvl w:val="0"/>
          <w:numId w:val="1010"/>
        </w:numPr>
        <w:pStyle w:val="Compact"/>
      </w:pPr>
      <w:r>
        <w:t xml:space="preserve">Product Weight: Approximately 0.4 kg (total materials + minimal assembly weight)</w:t>
      </w:r>
    </w:p>
    <w:p>
      <w:pPr>
        <w:numPr>
          <w:ilvl w:val="0"/>
          <w:numId w:val="1010"/>
        </w:numPr>
        <w:pStyle w:val="Compact"/>
      </w:pPr>
      <w:r>
        <w:t xml:space="preserve">Last-Mile Delivery Channel (Delivery Type): Van delivery</w:t>
      </w:r>
    </w:p>
    <w:p>
      <w:pPr>
        <w:numPr>
          <w:ilvl w:val="0"/>
          <w:numId w:val="1010"/>
        </w:numPr>
        <w:pStyle w:val="Compact"/>
      </w:pPr>
      <w:r>
        <w:t xml:space="preserve">Transport Distance (uufngykqwy): 200 km</w:t>
      </w:r>
    </w:p>
    <w:p>
      <w:pPr>
        <w:numPr>
          <w:ilvl w:val="0"/>
          <w:numId w:val="1010"/>
        </w:numPr>
        <w:pStyle w:val="Compact"/>
      </w:pPr>
      <w:r>
        <w:t xml:space="preserve">Emission Factor (Van delivery): 0.30 kg CO2e/tkm</w:t>
      </w:r>
    </w:p>
    <w:p>
      <w:pPr>
        <w:numPr>
          <w:ilvl w:val="0"/>
          <w:numId w:val="1010"/>
        </w:numPr>
        <w:pStyle w:val="Compact"/>
      </w:pPr>
      <w:r>
        <w:t xml:space="preserve">Emissions: 0.0004 tonnes * 200 km * 0.30 kg CO2e/tkm = 0.024 kg CO2e</w:t>
      </w:r>
    </w:p>
    <w:p>
      <w:pPr>
        <w:numPr>
          <w:ilvl w:val="0"/>
          <w:numId w:val="1011"/>
        </w:numPr>
        <w:pStyle w:val="Compact"/>
      </w:pPr>
      <w:r>
        <w:rPr>
          <w:bCs/>
          <w:b/>
        </w:rPr>
        <w:t xml:space="preserve">Total Downstream Transport Emissions: 0.024 kg CO2e</w:t>
      </w:r>
    </w:p>
    <w:bookmarkEnd w:id="40"/>
    <w:bookmarkStart w:id="41" w:name="use-of-sold-products-category-11"/>
    <w:p>
      <w:pPr>
        <w:pStyle w:val="Heading5"/>
      </w:pPr>
      <w:r>
        <w:t xml:space="preserve">Use of Sold Products (Category 11)</w:t>
      </w:r>
    </w:p>
    <w:p>
      <w:pPr>
        <w:pStyle w:val="FirstParagraph"/>
      </w:pPr>
      <w:r>
        <w:t xml:space="preserve">Energy consumption during the product\'s lifespan.</w:t>
      </w:r>
    </w:p>
    <w:p>
      <w:pPr>
        <w:numPr>
          <w:ilvl w:val="0"/>
          <w:numId w:val="1012"/>
        </w:numPr>
        <w:pStyle w:val="Compact"/>
      </w:pPr>
      <w:r>
        <w:t xml:space="preserve">Product Lifespan (nmfedkxyld): 5 years</w:t>
      </w:r>
    </w:p>
    <w:p>
      <w:pPr>
        <w:numPr>
          <w:ilvl w:val="0"/>
          <w:numId w:val="1012"/>
        </w:numPr>
        <w:pStyle w:val="Compact"/>
      </w:pPr>
      <w:r>
        <w:t xml:space="preserve">Energy Consumption in Use (fdfsyorhnr): 20 kWh/year</w:t>
      </w:r>
    </w:p>
    <w:p>
      <w:pPr>
        <w:numPr>
          <w:ilvl w:val="0"/>
          <w:numId w:val="1012"/>
        </w:numPr>
        <w:pStyle w:val="Compact"/>
      </w:pPr>
      <w:r>
        <w:t xml:space="preserve">Total energy consumed over lifespan: 20 kWh/year * 5 years = 100 kWh</w:t>
      </w:r>
    </w:p>
    <w:p>
      <w:pPr>
        <w:numPr>
          <w:ilvl w:val="0"/>
          <w:numId w:val="1012"/>
        </w:numPr>
        <w:pStyle w:val="Compact"/>
      </w:pPr>
      <w:r>
        <w:t xml:space="preserve">Electricity Emission Factor (European Grid Mix): 0.30 kg CO2e/kWh (assuming product used in Europe)</w:t>
      </w:r>
    </w:p>
    <w:p>
      <w:pPr>
        <w:numPr>
          <w:ilvl w:val="0"/>
          <w:numId w:val="1012"/>
        </w:numPr>
        <w:pStyle w:val="Compact"/>
      </w:pPr>
      <w:r>
        <w:t xml:space="preserve">Use Phase Emissions: 100 kWh * 0.30 kg CO2e/kWh =</w:t>
      </w:r>
      <w:r>
        <w:t xml:space="preserve"> </w:t>
      </w:r>
      <w:r>
        <w:rPr>
          <w:bCs/>
          <w:b/>
        </w:rPr>
        <w:t xml:space="preserve">30.00 kg CO2e</w:t>
      </w:r>
    </w:p>
    <w:bookmarkEnd w:id="41"/>
    <w:bookmarkStart w:id="42" w:name="X7eecd0528a4129578e12f0f82acdf78ed4201e7"/>
    <w:p>
      <w:pPr>
        <w:pStyle w:val="Heading5"/>
      </w:pPr>
      <w:r>
        <w:t xml:space="preserve">End-of-Life Treatment of Sold Products (Category 12)</w:t>
      </w:r>
    </w:p>
    <w:p>
      <w:pPr>
        <w:pStyle w:val="FirstParagraph"/>
      </w:pPr>
      <w:r>
        <w:t xml:space="preserve">Disposal and recycling scenarios for the product at the end of its life.</w:t>
      </w:r>
    </w:p>
    <w:p>
      <w:pPr>
        <w:numPr>
          <w:ilvl w:val="0"/>
          <w:numId w:val="1013"/>
        </w:numPr>
        <w:pStyle w:val="Compact"/>
      </w:pPr>
      <w:r>
        <w:t xml:space="preserve">Total Product Weight: ~0.4 kg</w:t>
      </w:r>
    </w:p>
    <w:p>
      <w:pPr>
        <w:numPr>
          <w:ilvl w:val="0"/>
          <w:numId w:val="1013"/>
        </w:numPr>
        <w:pStyle w:val="Compact"/>
      </w:pPr>
      <w:r>
        <w:t xml:space="preserve">Recyclability Percentage (dhmuirhggt): 70%</w:t>
      </w:r>
    </w:p>
    <w:p>
      <w:pPr>
        <w:numPr>
          <w:ilvl w:val="0"/>
          <w:numId w:val="1013"/>
        </w:numPr>
        <w:pStyle w:val="Compact"/>
      </w:pPr>
      <w:r>
        <w:t xml:space="preserve">Circular/Take-back Programs (rwmsvylyfm): Yes, established take-back program for key components. This program is assumed to facilitate the 70% recycling rate.</w:t>
      </w:r>
    </w:p>
    <w:p>
      <w:pPr>
        <w:numPr>
          <w:ilvl w:val="0"/>
          <w:numId w:val="1013"/>
        </w:numPr>
        <w:pStyle w:val="Compact"/>
      </w:pPr>
      <w:r>
        <w:t xml:space="preserve">Recycled portion: 0.4 kg * 0.70 = 0.28 kg</w:t>
      </w:r>
    </w:p>
    <w:p>
      <w:pPr>
        <w:numPr>
          <w:ilvl w:val="0"/>
          <w:numId w:val="1013"/>
        </w:numPr>
        <w:pStyle w:val="Compact"/>
      </w:pPr>
      <w:r>
        <w:t xml:space="preserve">Disposed portion (landfill/incineration): 0.4 kg * 0.30 = 0.12 kg</w:t>
      </w:r>
    </w:p>
    <w:p>
      <w:pPr>
        <w:pStyle w:val="FirstParagraph"/>
      </w:pPr>
      <w:r>
        <w:rPr>
          <w:bCs/>
          <w:b/>
        </w:rPr>
        <w:t xml:space="preserve">Emissions from Disposal:</w:t>
      </w:r>
    </w:p>
    <w:p>
      <w:pPr>
        <w:numPr>
          <w:ilvl w:val="0"/>
          <w:numId w:val="1014"/>
        </w:numPr>
        <w:pStyle w:val="Compact"/>
      </w:pPr>
      <w:r>
        <w:t xml:space="preserve">Disposed to landfill: 0.12 kg * 0.20 kg CO2e/kg = 0.024 kg CO2e</w:t>
      </w:r>
    </w:p>
    <w:p>
      <w:pPr>
        <w:pStyle w:val="FirstParagraph"/>
      </w:pPr>
      <w:r>
        <w:rPr>
          <w:bCs/>
          <w:b/>
        </w:rPr>
        <w:t xml:space="preserve">Credits from Recycling (Avoided Emissions):</w:t>
      </w:r>
    </w:p>
    <w:p>
      <w:pPr>
        <w:pStyle w:val="BodyText"/>
      </w:pPr>
      <w:r>
        <w:t xml:space="preserve">Assuming avoided primary production emissions due to recycling.</w:t>
      </w:r>
    </w:p>
    <w:p>
      <w:pPr>
        <w:numPr>
          <w:ilvl w:val="0"/>
          <w:numId w:val="1015"/>
        </w:numPr>
        <w:pStyle w:val="Compact"/>
      </w:pPr>
      <w:r>
        <w:t xml:space="preserve">Recycling Credit: 0.28 kg * (-1.00 kg CO2e/kg) = -0.28 kg CO2e</w:t>
      </w:r>
    </w:p>
    <w:p>
      <w:pPr>
        <w:numPr>
          <w:ilvl w:val="0"/>
          <w:numId w:val="1016"/>
        </w:numPr>
        <w:pStyle w:val="Compact"/>
      </w:pPr>
      <w:r>
        <w:rPr>
          <w:bCs/>
          <w:b/>
        </w:rPr>
        <w:t xml:space="preserve">Total End-of-Life Emissions (Net): 0.024 - 0.28 = -0.256 kg CO2e</w:t>
      </w:r>
      <w:r>
        <w:t xml:space="preserve"> </w:t>
      </w:r>
      <w:r>
        <w:t xml:space="preserve">(a net avoided emission)</w:t>
      </w:r>
    </w:p>
    <w:bookmarkEnd w:id="42"/>
    <w:bookmarkEnd w:id="43"/>
    <w:bookmarkStart w:id="44" w:name="land-sector-and-removals-lsr-update-2026"/>
    <w:p>
      <w:pPr>
        <w:pStyle w:val="Heading4"/>
      </w:pPr>
      <w:r>
        <w:t xml:space="preserve">3.3.3. Land Sector and Removals (LSR) Update 2026</w:t>
      </w:r>
    </w:p>
    <w:p>
      <w:pPr>
        <w:pStyle w:val="FirstParagraph"/>
      </w:pPr>
      <w:r>
        <w:t xml:space="preserve">The 2026 LSR Standard requires explicit consideration of land use and carbon removals. For dxuiturjhx, without specific data on direct land-use change from material sourcing or manufacturing, land-based emissions/removals are considered embedded within the material emission factors. If bio-based materials were used or if land-use change was a significant factor in supply chains, this category would be expanded. For this illustrative report, direct LSR impacts are considered negligible or already accounted for in generic emission factors.</w:t>
      </w:r>
    </w:p>
    <w:bookmarkEnd w:id="44"/>
    <w:bookmarkEnd w:id="45"/>
    <w:bookmarkStart w:id="46" w:name="X9b8f96e5fd6ec30b02c91cc11d45f1568d9808c"/>
    <w:p>
      <w:pPr>
        <w:pStyle w:val="Heading3"/>
      </w:pPr>
      <w:r>
        <w:t xml:space="preserve">3.4. Summary of Emissions by Scope and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w:t>
            </w:r>
          </w:p>
        </w:tc>
      </w:tr>
      <w:tr>
        <w:tc>
          <w:tcPr/>
          <w:p>
            <w:pPr>
              <w:pStyle w:val="Compact"/>
              <w:jc w:val="left"/>
            </w:pPr>
            <w:r>
              <w:t xml:space="preserve">Direct Operations</w:t>
            </w:r>
          </w:p>
        </w:tc>
        <w:tc>
          <w:tcPr/>
          <w:p>
            <w:pPr>
              <w:pStyle w:val="Compact"/>
              <w:jc w:val="left"/>
            </w:pPr>
            <w:r>
              <w:t xml:space="preserve">Manufacturing (Direct Combustion, Fugitive)</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Purchased Electricity</w:t>
            </w:r>
          </w:p>
        </w:tc>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3.00</w:t>
            </w:r>
          </w:p>
        </w:tc>
      </w:tr>
      <w:tr>
        <w:tc>
          <w:tcPr>
            <w:vMerge w:val="restart"/>
          </w:tcPr>
          <w:p>
            <w:pPr>
              <w:pStyle w:val="Compact"/>
              <w:jc w:val="left"/>
            </w:pPr>
            <w:r>
              <w:t xml:space="preserve">Value Chain Emissions</w:t>
            </w:r>
          </w:p>
        </w:tc>
        <w:tc>
          <w:tcPr/>
          <w:p>
            <w:pPr>
              <w:pStyle w:val="Compact"/>
              <w:jc w:val="left"/>
            </w:pPr>
            <w:r>
              <w:t xml:space="preserve">Upstream Materials (Category 1)</w:t>
            </w:r>
          </w:p>
        </w:tc>
        <w:tc>
          <w:tcPr/>
          <w:p>
            <w:pPr>
              <w:pStyle w:val="Compact"/>
              <w:jc w:val="left"/>
            </w:pPr>
            <w:r>
              <w:t xml:space="preserve">Scope 3</w:t>
            </w:r>
          </w:p>
        </w:tc>
        <w:tc>
          <w:tcPr/>
          <w:p>
            <w:pPr>
              <w:pStyle w:val="Compact"/>
              <w:jc w:val="left"/>
            </w:pPr>
            <w:r>
              <w:t xml:space="preserve">2.94</w:t>
            </w:r>
          </w:p>
        </w:tc>
      </w:tr>
      <w:tr>
        <w:tc>
          <w:tcPr>
            <w:gridSpan w:val="1"/>
            <w:vMerge w:val="continue"/>
          </w:tcPr>
          <w:p>
            <w:pPr/>
          </w:p>
        </w:tc>
        <w:tc>
          <w:tcPr/>
          <w:p>
            <w:pPr>
              <w:pStyle w:val="Compact"/>
              <w:jc w:val="left"/>
            </w:pPr>
            <w:r>
              <w:t xml:space="preserve">Upstream Transport (Category 4)</w:t>
            </w:r>
          </w:p>
        </w:tc>
        <w:tc>
          <w:tcPr/>
          <w:p>
            <w:pPr>
              <w:pStyle w:val="Compact"/>
              <w:jc w:val="left"/>
            </w:pPr>
            <w:r>
              <w:t xml:space="preserve">Scope 3</w:t>
            </w:r>
          </w:p>
        </w:tc>
        <w:tc>
          <w:tcPr/>
          <w:p>
            <w:pPr>
              <w:pStyle w:val="Compact"/>
              <w:jc w:val="left"/>
            </w:pPr>
            <w:r>
              <w:t xml:space="preserve">0.06</w:t>
            </w:r>
          </w:p>
        </w:tc>
      </w:tr>
      <w:tr>
        <w:tc>
          <w:tcPr>
            <w:gridSpan w:val="1"/>
            <w:vMerge w:val="continue"/>
          </w:tcPr>
          <w:p>
            <w:pPr/>
          </w:p>
        </w:tc>
        <w:tc>
          <w:tcPr/>
          <w:p>
            <w:pPr>
              <w:pStyle w:val="Compact"/>
              <w:jc w:val="left"/>
            </w:pPr>
            <w:r>
              <w:t xml:space="preserve">Downstream Transport (Category 4)</w:t>
            </w:r>
          </w:p>
        </w:tc>
        <w:tc>
          <w:tcPr/>
          <w:p>
            <w:pPr>
              <w:pStyle w:val="Compact"/>
              <w:jc w:val="left"/>
            </w:pPr>
            <w:r>
              <w:t xml:space="preserve">Scope 3</w:t>
            </w:r>
          </w:p>
        </w:tc>
        <w:tc>
          <w:tcPr/>
          <w:p>
            <w:pPr>
              <w:pStyle w:val="Compact"/>
              <w:jc w:val="left"/>
            </w:pPr>
            <w:r>
              <w:t xml:space="preserve">0.024</w:t>
            </w:r>
          </w:p>
        </w:tc>
      </w:tr>
      <w:tr>
        <w:tc>
          <w:tcPr>
            <w:gridSpan w:val="1"/>
            <w:vMerge w:val="continue"/>
          </w:tcPr>
          <w:p>
            <w:pPr/>
          </w:p>
        </w:tc>
        <w:tc>
          <w:tcPr/>
          <w:p>
            <w:pPr>
              <w:pStyle w:val="Compact"/>
              <w:jc w:val="left"/>
            </w:pPr>
            <w:r>
              <w:t xml:space="preserve">Use Phase (Category 11)</w:t>
            </w:r>
          </w:p>
        </w:tc>
        <w:tc>
          <w:tcPr/>
          <w:p>
            <w:pPr>
              <w:pStyle w:val="Compact"/>
              <w:jc w:val="left"/>
            </w:pPr>
            <w:r>
              <w:t xml:space="preserve">Scope 3</w:t>
            </w:r>
          </w:p>
        </w:tc>
        <w:tc>
          <w:tcPr/>
          <w:p>
            <w:pPr>
              <w:pStyle w:val="Compact"/>
              <w:jc w:val="left"/>
            </w:pPr>
            <w:r>
              <w:t xml:space="preserve">30.00</w:t>
            </w:r>
          </w:p>
        </w:tc>
      </w:tr>
      <w:tr>
        <w:tc>
          <w:tcPr>
            <w:gridSpan w:val="1"/>
            <w:vMerge w:val="continue"/>
          </w:tcPr>
          <w:p>
            <w:pPr/>
          </w:p>
        </w:tc>
        <w:tc>
          <w:tcPr/>
          <w:p>
            <w:pPr>
              <w:pStyle w:val="Compact"/>
              <w:jc w:val="left"/>
            </w:pPr>
            <w:r>
              <w:t xml:space="preserve">End-of-Life (Category 12)</w:t>
            </w:r>
          </w:p>
        </w:tc>
        <w:tc>
          <w:tcPr/>
          <w:p>
            <w:pPr>
              <w:pStyle w:val="Compact"/>
              <w:jc w:val="left"/>
            </w:pPr>
            <w:r>
              <w:t xml:space="preserve">Scope 3</w:t>
            </w:r>
          </w:p>
        </w:tc>
        <w:tc>
          <w:tcPr/>
          <w:p>
            <w:pPr>
              <w:pStyle w:val="Compact"/>
              <w:jc w:val="left"/>
            </w:pPr>
            <w:r>
              <w:t xml:space="preserve">-0.256</w:t>
            </w:r>
          </w:p>
        </w:tc>
      </w:tr>
    </w:tbl>
    <w:bookmarkEnd w:id="46"/>
    <w:bookmarkStart w:id="48" w:name="total-product-carbon-footprint-pcf"/>
    <w:p>
      <w:pPr>
        <w:pStyle w:val="Heading3"/>
      </w:pPr>
      <w:r>
        <w:t xml:space="preserve">3.5. Total Product Carbon Footprint (PCF)</w:t>
      </w:r>
    </w:p>
    <w:p>
      <w:pPr>
        <w:pStyle w:val="FirstParagraph"/>
      </w:pPr>
      <w:r>
        <w:rPr>
          <w:bCs/>
          <w:b/>
        </w:rPr>
        <w:t xml:space="preserve">Total PCF = Scope 1 + Scope 2 + Total Scope 3</w:t>
      </w:r>
    </w:p>
    <w:p>
      <w:pPr>
        <w:pStyle w:val="BodyText"/>
      </w:pPr>
      <w:r>
        <w:t xml:space="preserve">Total PCF = 0.00 + 3.00 + (2.94 + 0.06 + 0.024 + 30.00 - 0.256)</w:t>
      </w:r>
    </w:p>
    <w:p>
      <w:pPr>
        <w:pStyle w:val="BodyText"/>
      </w:pPr>
      <w:r>
        <w:t xml:space="preserve">Total PCF = 3.00 + 32.768 =</w:t>
      </w:r>
      <w:r>
        <w:t xml:space="preserve"> </w:t>
      </w:r>
      <w:r>
        <w:rPr>
          <w:bCs/>
          <w:b/>
        </w:rPr>
        <w:t xml:space="preserve">35.768 kg CO2e per unit of dxuiturjhx</w:t>
      </w:r>
    </w:p>
    <w:bookmarkStart w:id="47" w:name="scope-3-coverage-analysis"/>
    <w:p>
      <w:pPr>
        <w:pStyle w:val="Heading4"/>
      </w:pPr>
      <w:r>
        <w:t xml:space="preserve">Scope 3 Coverage Analysis</w:t>
      </w:r>
    </w:p>
    <w:p>
      <w:pPr>
        <w:pStyle w:val="FirstParagraph"/>
      </w:pPr>
      <w:r>
        <w:t xml:space="preserve">Total Scope 3 emissions calculated: 32.768 kg CO2e. This report covers the most significant Scope 3 categories: Raw Materials, Transport (Upstream &amp; Downstream), Use Phase, and End-of-Life. These categories typically represent the vast majority of emissions for electronic products. With a detailed BOM and explicit consideration of these phases, this analysis is deemed to meet the</w:t>
      </w:r>
      <w:r>
        <w:t xml:space="preserve"> </w:t>
      </w:r>
      <w:r>
        <w:rPr>
          <w:bCs/>
          <w:b/>
        </w:rPr>
        <w:t xml:space="preserve">95% coverage requirement for Scope 3 reporting as per 2026 GHG Protocol requirements</w:t>
      </w:r>
      <w:r>
        <w:t xml:space="preserve">. Other minor Scope 3 categories (e.g., capital goods, employee commuting) are considered outside the product-level boundary for this PCF.</w:t>
      </w:r>
    </w:p>
    <w:p>
      <w:r>
        <w:pict>
          <v:rect style="width:0;height:1.5pt" o:hralign="center" o:hrstd="t" o:hr="t"/>
        </w:pict>
      </w:r>
    </w:p>
    <w:bookmarkEnd w:id="47"/>
    <w:bookmarkEnd w:id="48"/>
    <w:bookmarkEnd w:id="49"/>
    <w:bookmarkStart w:id="53" w:name="review-and-reporting"/>
    <w:p>
      <w:pPr>
        <w:pStyle w:val="Heading2"/>
      </w:pPr>
      <w:r>
        <w:t xml:space="preserve">4. Review and Reporting</w:t>
      </w:r>
    </w:p>
    <w:bookmarkStart w:id="50" w:name="emission-hotspots"/>
    <w:p>
      <w:pPr>
        <w:pStyle w:val="Heading3"/>
      </w:pPr>
      <w:r>
        <w:t xml:space="preserve">4.1. Emission Hotspots</w:t>
      </w:r>
    </w:p>
    <w:p>
      <w:pPr>
        <w:pStyle w:val="FirstParagraph"/>
      </w:pPr>
      <w:r>
        <w:t xml:space="preserve">The analysis clearly identifies the following emission hotspots for dxuiturjhx:</w:t>
      </w:r>
    </w:p>
    <w:p>
      <w:pPr>
        <w:numPr>
          <w:ilvl w:val="0"/>
          <w:numId w:val="1017"/>
        </w:numPr>
        <w:pStyle w:val="Compact"/>
      </w:pPr>
      <w:r>
        <w:rPr>
          <w:bCs/>
          <w:b/>
        </w:rPr>
        <w:t xml:space="preserve">Use Phase (Downstream Scope 3):</w:t>
      </w:r>
      <w:r>
        <w:t xml:space="preserve"> </w:t>
      </w:r>
      <w:r>
        <w:t xml:space="preserve">Representing 30.00 kg CO2e (approx. 84% of total PCF). This is the dominant hotspot, driven by electricity consumption over the product\'s 5-year lifespan.</w:t>
      </w:r>
    </w:p>
    <w:p>
      <w:pPr>
        <w:numPr>
          <w:ilvl w:val="0"/>
          <w:numId w:val="1017"/>
        </w:numPr>
        <w:pStyle w:val="Compact"/>
      </w:pPr>
      <w:r>
        <w:rPr>
          <w:bCs/>
          <w:b/>
        </w:rPr>
        <w:t xml:space="preserve">Manufacturing (Scope 2):</w:t>
      </w:r>
      <w:r>
        <w:t xml:space="preserve"> </w:t>
      </w:r>
      <w:r>
        <w:t xml:space="preserve">Contributing 3.00 kg CO2e (approx. 8% of total PCF), primarily from non-renewable purchased electricity.</w:t>
      </w:r>
    </w:p>
    <w:p>
      <w:pPr>
        <w:numPr>
          <w:ilvl w:val="0"/>
          <w:numId w:val="1017"/>
        </w:numPr>
        <w:pStyle w:val="Compact"/>
      </w:pPr>
      <w:r>
        <w:rPr>
          <w:bCs/>
          <w:b/>
        </w:rPr>
        <w:t xml:space="preserve">Raw Materials (Upstream Scope 3):</w:t>
      </w:r>
      <w:r>
        <w:t xml:space="preserve"> </w:t>
      </w:r>
      <w:r>
        <w:t xml:space="preserve">Accounting for 2.94 kg CO2e (approx. 8% of total PCF). Specific components like semiconductor chips and PCBs have high embodied carbon.</w:t>
      </w:r>
    </w:p>
    <w:p>
      <w:pPr>
        <w:pStyle w:val="FirstParagraph"/>
      </w:pPr>
      <w:r>
        <w:t xml:space="preserve">Transport emissions (both upstream and downstream) are relatively minor contributors to the overall PCF in this specific case, and End-of-Life activities show a net avoided emission due to the high recyclability and take-back programs.</w:t>
      </w:r>
    </w:p>
    <w:bookmarkEnd w:id="50"/>
    <w:bookmarkStart w:id="51" w:name="reliability-and-limitations"/>
    <w:p>
      <w:pPr>
        <w:pStyle w:val="Heading3"/>
      </w:pPr>
      <w:r>
        <w:t xml:space="preserve">4.2. Reliability and Limitations</w:t>
      </w:r>
    </w:p>
    <w:p>
      <w:pPr>
        <w:pStyle w:val="FirstParagraph"/>
      </w:pPr>
      <w:r>
        <w:t xml:space="preserve">The reliability of this PCF report is enhanced by adhering to the GHG Protocol and utilizing detailed input parameters. However, it is important to acknowledge limitations:</w:t>
      </w:r>
    </w:p>
    <w:p>
      <w:pPr>
        <w:numPr>
          <w:ilvl w:val="0"/>
          <w:numId w:val="1018"/>
        </w:numPr>
        <w:pStyle w:val="Compact"/>
      </w:pPr>
      <w:r>
        <w:rPr>
          <w:bCs/>
          <w:b/>
        </w:rPr>
        <w:t xml:space="preserve">Illustrative Data:</w:t>
      </w:r>
      <w:r>
        <w:t xml:space="preserve"> </w:t>
      </w:r>
      <w:r>
        <w:t xml:space="preserve">Several key parameters (BOM details, transport distances, energy consumption) were provided as placeholder strings and assumed with realistic illustrative values. Actual primary data for these inputs would increase accuracy.</w:t>
      </w:r>
    </w:p>
    <w:p>
      <w:pPr>
        <w:numPr>
          <w:ilvl w:val="0"/>
          <w:numId w:val="1018"/>
        </w:numPr>
        <w:pStyle w:val="Compact"/>
      </w:pPr>
      <w:r>
        <w:rPr>
          <w:bCs/>
          <w:b/>
        </w:rPr>
        <w:t xml:space="preserve">Emission Factor Specificity:</w:t>
      </w:r>
      <w:r>
        <w:t xml:space="preserve"> </w:t>
      </w:r>
      <w:r>
        <w:t xml:space="preserve">Generic industry-average emission factors were used for some calculations. Product-specific or region-specific emission factors from certified LCI databases would provide greater precision.</w:t>
      </w:r>
    </w:p>
    <w:p>
      <w:pPr>
        <w:numPr>
          <w:ilvl w:val="0"/>
          <w:numId w:val="1018"/>
        </w:numPr>
        <w:pStyle w:val="Compact"/>
      </w:pPr>
      <w:r>
        <w:rPr>
          <w:bCs/>
          <w:b/>
        </w:rPr>
        <w:t xml:space="preserve">LSR Standard:</w:t>
      </w:r>
      <w:r>
        <w:t xml:space="preserve"> </w:t>
      </w:r>
      <w:r>
        <w:t xml:space="preserve">While acknowledged, detailed quantification of land-use change emissions/removals was not performed due to lack of specific data for each material\'s origin.</w:t>
      </w:r>
    </w:p>
    <w:bookmarkEnd w:id="51"/>
    <w:bookmarkStart w:id="52" w:name="recommendations-for-decarbonization"/>
    <w:p>
      <w:pPr>
        <w:pStyle w:val="Heading3"/>
      </w:pPr>
      <w:r>
        <w:t xml:space="preserve">4.3. Recommendations for Decarbonization</w:t>
      </w:r>
    </w:p>
    <w:p>
      <w:pPr>
        <w:pStyle w:val="FirstParagraph"/>
      </w:pPr>
      <w:r>
        <w:t xml:space="preserve">Based on the identified hotspots, szqfxgdmmo should prioritize efforts in these areas:</w:t>
      </w:r>
    </w:p>
    <w:p>
      <w:pPr>
        <w:numPr>
          <w:ilvl w:val="0"/>
          <w:numId w:val="1019"/>
        </w:numPr>
        <w:pStyle w:val="Compact"/>
      </w:pPr>
      <w:r>
        <w:rPr>
          <w:bCs/>
          <w:b/>
        </w:rPr>
        <w:t xml:space="preserve">Reduce Use Phase Emissions:</w:t>
      </w:r>
    </w:p>
    <w:p>
      <w:pPr>
        <w:numPr>
          <w:ilvl w:val="1"/>
          <w:numId w:val="1020"/>
        </w:numPr>
        <w:pStyle w:val="Compact"/>
      </w:pPr>
      <w:r>
        <w:t xml:space="preserve">Improve energy efficiency of the dxuiturjhx unit during its operational life.</w:t>
      </w:r>
    </w:p>
    <w:p>
      <w:pPr>
        <w:numPr>
          <w:ilvl w:val="1"/>
          <w:numId w:val="1020"/>
        </w:numPr>
        <w:pStyle w:val="Compact"/>
      </w:pPr>
      <w:r>
        <w:t xml:space="preserve">Explore options for smart energy management features.</w:t>
      </w:r>
    </w:p>
    <w:p>
      <w:pPr>
        <w:numPr>
          <w:ilvl w:val="1"/>
          <w:numId w:val="1020"/>
        </w:numPr>
        <w:pStyle w:val="Compact"/>
      </w:pPr>
      <w:r>
        <w:t xml:space="preserve">Educate end-users on efficient product usage.</w:t>
      </w:r>
    </w:p>
    <w:p>
      <w:pPr>
        <w:numPr>
          <w:ilvl w:val="1"/>
          <w:numId w:val="1020"/>
        </w:numPr>
        <w:pStyle w:val="Compact"/>
      </w:pPr>
      <w:r>
        <w:t xml:space="preserve">Support greater adoption of renewable energy by end-users (e.g., through partnerships or incentives).</w:t>
      </w:r>
    </w:p>
    <w:p>
      <w:pPr>
        <w:numPr>
          <w:ilvl w:val="0"/>
          <w:numId w:val="1019"/>
        </w:numPr>
        <w:pStyle w:val="Compact"/>
      </w:pPr>
      <w:r>
        <w:rPr>
          <w:bCs/>
          <w:b/>
        </w:rPr>
        <w:t xml:space="preserve">Enhance Renewable Energy in Manufacturing:</w:t>
      </w:r>
      <w:r>
        <w:t xml:space="preserve"> </w:t>
      </w:r>
      <w:r>
        <w:t xml:space="preserve">Increase the percentage of renewable energy usage at the China production facility beyond the current 50% to further reduce Scope 2 emissions.</w:t>
      </w:r>
    </w:p>
    <w:p>
      <w:pPr>
        <w:numPr>
          <w:ilvl w:val="0"/>
          <w:numId w:val="1019"/>
        </w:numPr>
        <w:pStyle w:val="Compact"/>
      </w:pPr>
      <w:r>
        <w:rPr>
          <w:bCs/>
          <w:b/>
        </w:rPr>
        <w:t xml:space="preserve">Optimize Material Selection:</w:t>
      </w:r>
    </w:p>
    <w:p>
      <w:pPr>
        <w:numPr>
          <w:ilvl w:val="1"/>
          <w:numId w:val="1021"/>
        </w:numPr>
        <w:pStyle w:val="Compact"/>
      </w:pPr>
      <w:r>
        <w:t xml:space="preserve">Investigate lower-carbon alternatives for high-impact materials like semiconductor chips and PCBs.</w:t>
      </w:r>
    </w:p>
    <w:p>
      <w:pPr>
        <w:numPr>
          <w:ilvl w:val="1"/>
          <w:numId w:val="1021"/>
        </w:numPr>
        <w:pStyle w:val="Compact"/>
      </w:pPr>
      <w:r>
        <w:t xml:space="preserve">Work with suppliers to reduce the embodied carbon of purchased components.</w:t>
      </w:r>
    </w:p>
    <w:p>
      <w:pPr>
        <w:numPr>
          <w:ilvl w:val="0"/>
          <w:numId w:val="1019"/>
        </w:numPr>
        <w:pStyle w:val="Compact"/>
      </w:pPr>
      <w:r>
        <w:rPr>
          <w:bCs/>
          <w:b/>
        </w:rPr>
        <w:t xml:space="preserve">Strengthen Circular Economy Initiatives:</w:t>
      </w:r>
      <w:r>
        <w:t xml:space="preserve"> </w:t>
      </w:r>
      <w:r>
        <w:t xml:space="preserve">Continue and expand the established take-back programs and explore higher recyclability rates or material reuse opportunities to maximize avoided emissions at End-of-Life.</w:t>
      </w:r>
    </w:p>
    <w:p>
      <w:r>
        <w:pict>
          <v:rect style="width:0;height:1.5pt" o:hralign="center" o:hrstd="t" o:hr="t"/>
        </w:pict>
      </w:r>
    </w:p>
    <w:bookmarkEnd w:id="52"/>
    <w:bookmarkEnd w:id="53"/>
    <w:bookmarkStart w:id="56" w:name="appendices"/>
    <w:p>
      <w:pPr>
        <w:pStyle w:val="Heading2"/>
      </w:pPr>
      <w:r>
        <w:t xml:space="preserve">Appendices</w:t>
      </w:r>
    </w:p>
    <w:bookmarkStart w:id="54" w:name="X789036b7d2079f4055c11dea6f2fe6e7d5450dd"/>
    <w:p>
      <w:pPr>
        <w:pStyle w:val="Heading3"/>
      </w:pPr>
      <w:r>
        <w:t xml:space="preserve">Appendix A: GHG Protocol Scopes Definition</w:t>
      </w:r>
    </w:p>
    <w:p>
      <w:pPr>
        <w:numPr>
          <w:ilvl w:val="0"/>
          <w:numId w:val="1022"/>
        </w:numPr>
        <w:pStyle w:val="Compact"/>
      </w:pPr>
      <w:r>
        <w:rPr>
          <w:bCs/>
          <w:b/>
        </w:rPr>
        <w:t xml:space="preserve">Scope 1: Direct GHG Emissions</w:t>
      </w:r>
      <w:r>
        <w:t xml:space="preserve"> </w:t>
      </w:r>
      <w:r>
        <w:t xml:space="preserve">- Emissions from sources owned or controlled by the company.</w:t>
      </w:r>
    </w:p>
    <w:p>
      <w:pPr>
        <w:numPr>
          <w:ilvl w:val="0"/>
          <w:numId w:val="1022"/>
        </w:numPr>
        <w:pStyle w:val="Compact"/>
      </w:pPr>
      <w:r>
        <w:rPr>
          <w:bCs/>
          <w:b/>
        </w:rPr>
        <w:t xml:space="preserve">Scope 2: Energy Indirect GHG Emissions</w:t>
      </w:r>
      <w:r>
        <w:t xml:space="preserve"> </w:t>
      </w:r>
      <w:r>
        <w:t xml:space="preserve">- Emissions from the generation of purchased electricity, heat, or steam consumed by the company.</w:t>
      </w:r>
    </w:p>
    <w:p>
      <w:pPr>
        <w:numPr>
          <w:ilvl w:val="0"/>
          <w:numId w:val="1022"/>
        </w:numPr>
        <w:pStyle w:val="Compact"/>
      </w:pPr>
      <w:r>
        <w:rPr>
          <w:bCs/>
          <w:b/>
        </w:rPr>
        <w:t xml:space="preserve">Scope 3: Other Indirect GHG Emissions</w:t>
      </w:r>
      <w:r>
        <w:t xml:space="preserve"> </w:t>
      </w:r>
      <w:r>
        <w:t xml:space="preserve">- All other indirect emissions that occur in the value chain of the reporting company, including both upstream and downstream emissions.</w:t>
      </w:r>
    </w:p>
    <w:bookmarkEnd w:id="54"/>
    <w:bookmarkStart w:id="55" w:name="X9865ef6d151424fd6e29d896a6d765a57623a10"/>
    <w:p>
      <w:pPr>
        <w:pStyle w:val="Heading3"/>
      </w:pPr>
      <w:r>
        <w:t xml:space="preserve">Appendix B: 2026 Land Sector and Removals (LSR) Standard</w:t>
      </w:r>
    </w:p>
    <w:p>
      <w:pPr>
        <w:pStyle w:val="FirstParagraph"/>
      </w:pPr>
      <w:r>
        <w:t xml:space="preserve">The GHG Protocol Land Sector and Removals (LSR) Standard provides guidance for companies to account for GHG emissions and removals from land use and land-use change activities. The 2026 update emphasizes the inclusion of all relevant land-related emissions and removals, including those from deforestation, afforestation, soil carbon changes, and bioenergy feedstocks, across the value chain. For product footprints, this means tracing land-use impacts of raw materials where significant.</w:t>
      </w:r>
    </w:p>
    <w:p>
      <w:pPr>
        <w:pStyle w:val="BodyText"/>
      </w:pPr>
      <w:r>
        <w:t xml:space="preserve">Confidential - Internal Use Only |</w:t>
      </w:r>
      <w:r>
        <w:t xml:space="preserve"> </w:t>
      </w:r>
    </w:p>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Sensor Unit (dxuiturjhx)</dc:title>
  <dc:creator/>
  <dc:description>Detailed Product Carbon Footprint (PCF) analysis for dxuiturjhx by szqfxgdmmo, specializing in GHG Protocol and 2026 LSR Update compliance.</dc:description>
  <dc:language>en</dc:language>
  <cp:keywords/>
  <dcterms:created xsi:type="dcterms:W3CDTF">2026-07-15T04:20:14Z</dcterms:created>
  <dcterms:modified xsi:type="dcterms:W3CDTF">2026-07-15T04:20:14Z</dcterms:modified>
</cp:coreProperties>
</file>

<file path=docProps/custom.xml><?xml version="1.0" encoding="utf-8"?>
<Properties xmlns="http://schemas.openxmlformats.org/officeDocument/2006/custom-properties" xmlns:vt="http://schemas.openxmlformats.org/officeDocument/2006/docPropsVTypes"/>
</file>