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IoT Sensor (jztlfhspej)</w:t>
      </w:r>
    </w:p>
    <w:p>
      <w:pPr>
        <w:pStyle w:val="BodyText"/>
      </w:pPr>
      <w:r>
        <w:rPr>
          <w:bCs/>
          <w:b/>
        </w:rPr>
        <w:t xml:space="preserve">Company:</w:t>
      </w:r>
      <w:r>
        <w:t xml:space="preserve"> </w:t>
      </w:r>
      <w:r>
        <w:t xml:space="preserve">utflljvqge</w:t>
      </w:r>
    </w:p>
    <w:p>
      <w:pPr>
        <w:pStyle w:val="BodyText"/>
      </w:pPr>
      <w:r>
        <w:rPr>
          <w:bCs/>
          <w:b/>
        </w:rPr>
        <w:t xml:space="preserve">Senior Sustainability Consultant:</w:t>
      </w:r>
      <w:r>
        <w:t xml:space="preserve"> </w:t>
      </w:r>
      <w:r>
        <w:t xml:space="preserve">sdlvmleghh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based on real-world conditions and specific supplier data not available at the time of this analysis. The emission factors used are indicative industry benchmarks.</w:t>
      </w:r>
    </w:p>
    <w:p>
      <w:pPr>
        <w:pStyle w:val="BodyText"/>
      </w:pPr>
      <w:r>
        <w:t xml:space="preserve">Generated Date: May 18, 2026</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Smart IoT Sensor (jztlfhspej)</w:t>
      </w:r>
    </w:p>
    <w:p>
      <w:pPr>
        <w:pStyle w:val="BodyText"/>
      </w:pPr>
      <w:r>
        <w:rPr>
          <w:bCs/>
          <w:b/>
        </w:rPr>
        <w:t xml:space="preserve">Generated Date:</w:t>
      </w:r>
      <w:r>
        <w:t xml:space="preserve"> </w:t>
      </w:r>
      <w:r>
        <w:t xml:space="preserve">May 18, 2026</w:t>
      </w:r>
    </w:p>
    <w:p>
      <w:pPr>
        <w:pStyle w:val="BodyText"/>
      </w:pPr>
      <w:r>
        <w:rPr>
          <w:bCs/>
          <w:b/>
        </w:rPr>
        <w:t xml:space="preserve">Consultant:</w:t>
      </w:r>
      <w:r>
        <w:t xml:space="preserve"> </w:t>
      </w:r>
      <w:r>
        <w:t xml:space="preserve">sdlvmleghh,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(jztlfhspej) manufactured by utflljvqge, performed by Senior Sustainability Consultant sdlvmleghh. The analysis strictly adheres to the GHG Protocol accounting standard, incorporating the 2026 Land Sector and Removals (LSR) Standard and ensuring at least 95% coverage for Scope 3 emissions. The goal is to quantify the greenhouse gas (GHG) emissions across the product\'s lifecycle, identify key hotspots, and provide insights for reduction strategies. Based on the detailed Bill of Materials, production energy, transport logistics, use-phase electricity consumption, and end-of-life scenarios, the total carbon footprint for one functional unit of the Smart IoT Sensor has been calculated. Example emission factors from industry benchmarks (e.g., Ecoinvent/DEFRA) have been used for this illustrative analysis due to the placeholder nature of some input parameters.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the Smart IoT Sensor</w:t>
      </w:r>
      <w:r>
        <w:t xml:space="preserve"> </w:t>
      </w:r>
      <w:r>
        <w:t xml:space="preserve">(jztlfhspej).</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"cradle-to-gate" extended to include the use-phase and end-of-life (EoL) scenarios</w:t>
      </w:r>
      <w:r>
        <w:t xml:space="preserve"> </w:t>
      </w:r>
      <w:r>
        <w:t xml:space="preserve">(often referred to as "cradle-to-grave" or "cradle-to-cradle" for circularity considerations). Specifically, the factory gate is the primary focus for production, but upstream (materials, transport) and downstream (use, EoL) impacts are included for comprehensive Scope 3 coverage. Emissions are categorized into Scope 1 (direct), Scope 2 (purchased energy), and Scope 3 (value chain).</w:t>
      </w:r>
    </w:p>
    <w:bookmarkEnd w:id="24"/>
    <w:bookmarkStart w:id="25"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w:t>
      </w:r>
      <w:r>
        <w:t xml:space="preserve">for material sourcing and global distribution. This implies that manufacturing emission factors (e.g., electricity mix) will be specific to China, while some material and component sourcing may reflect European supply chains, impacting upstream transport.</w:t>
      </w:r>
    </w:p>
    <w:bookmarkEnd w:id="25"/>
    <w:bookmarkStart w:id="26" w:name="accounting-standard"/>
    <w:p>
      <w:pPr>
        <w:pStyle w:val="Heading3"/>
      </w:pPr>
      <w:r>
        <w:t xml:space="preserve">Accounting Standard</w:t>
      </w:r>
    </w:p>
    <w:p>
      <w:pPr>
        <w:pStyle w:val="FirstParagraph"/>
      </w:pPr>
      <w:r>
        <w:t xml:space="preserve">This analysis strictly follows the</w:t>
      </w:r>
      <w:r>
        <w:t xml:space="preserve"> </w:t>
      </w:r>
      <w:r>
        <w:rPr>
          <w:bCs/>
          <w:b/>
        </w:rPr>
        <w:t xml:space="preserve">GHG Protocol Product Standard</w:t>
      </w:r>
      <w:r>
        <w:t xml:space="preserve">. It integrates requirements from the</w:t>
      </w:r>
      <w:r>
        <w:t xml:space="preserve"> </w:t>
      </w:r>
      <w:r>
        <w:rPr>
          <w:bCs/>
          <w:b/>
        </w:rPr>
        <w:t xml:space="preserve">2026 Land Sector and Removals (LSR) Standard</w:t>
      </w:r>
      <w:r>
        <w:t xml:space="preserve"> </w:t>
      </w:r>
      <w:r>
        <w:t xml:space="preserve">and ensures</w:t>
      </w:r>
      <w:r>
        <w:t xml:space="preserve"> </w:t>
      </w:r>
      <w:r>
        <w:rPr>
          <w:bCs/>
          <w:b/>
        </w:rPr>
        <w:t xml:space="preserve">at least 95% coverage for Scope 3 reporting</w:t>
      </w:r>
      <w:r>
        <w:t xml:space="preserve">, aligning with anticipated 2026 requirements.</w:t>
      </w:r>
    </w:p>
    <w:bookmarkEnd w:id="26"/>
    <w:bookmarkStart w:id="27" w:name="allocation"/>
    <w:p>
      <w:pPr>
        <w:pStyle w:val="Heading3"/>
      </w:pPr>
      <w:r>
        <w:t xml:space="preserve">Allocation</w:t>
      </w:r>
    </w:p>
    <w:p>
      <w:pPr>
        <w:pStyle w:val="FirstParagraph"/>
      </w:pPr>
      <w:r>
        <w:t xml:space="preserve">Allocation of emissions for co-products or by-products is not directly applicable to a single product PCF as defined. For any shared processes (e.g., shared manufacturing facility utilities), emissions are allocated based on relevant physical parameters (e.g., mass, energy consumption) proportional to the Smart IoT Sensor\'s contribution. For recycling, a cut-off approach combined with avoided burden method (for secondary material production) is used in the End-of-Life phase, as per GHG Protocol guidance.</w:t>
      </w:r>
    </w:p>
    <w:p>
      <w:r>
        <w:pict>
          <v:rect style="width:0;height:1.5pt" o:hralign="center" o:hrstd="t" o:hr="t"/>
        </w:pict>
      </w:r>
    </w:p>
    <w:bookmarkEnd w:id="27"/>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the Smart IoT Sensor is mapped across several stages, for which data has been collected. Due to the placeholder nature of the provided parameters, specific example values, informed by industry benchmarks, have been used for demonstration purposes. These values are explicitly noted as examples.</w:t>
      </w:r>
    </w:p>
    <w:bookmarkStart w:id="29" w:name="Xbc374b9b819252f363695326adb7c260a28ffa7"/>
    <w:p>
      <w:pPr>
        <w:pStyle w:val="Heading3"/>
      </w:pPr>
      <w:r>
        <w:t xml:space="preserve">Material Acquisition and Pre-processing (Scope 3 - Upstream)</w:t>
      </w:r>
    </w:p>
    <w:p>
      <w:pPr>
        <w:pStyle w:val="FirstParagraph"/>
      </w:pPr>
      <w:r>
        <w:t xml:space="preserve">The Detailed Bill of Materials (BOM) for jztlfhspej (Smart IoT Sensor) is critical for high-accuracy material impact calculation. The BOM data provided follows the format: ID, Description, Category, Process, Qty (kg), Unit, Emission Factor (kgCO2e/kg).</w:t>
      </w:r>
    </w:p>
    <w:p>
      <w:pPr>
        <w:pStyle w:val="BodyText"/>
      </w:pPr>
      <w:r>
        <w:rPr>
          <w:bCs/>
          <w:b/>
        </w:rPr>
        <w:t xml:space="preserve">Detailed Bill of Materials (BOM) - Example Values: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MAT002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3.8</w:t>
            </w:r>
          </w:p>
        </w:tc>
        <w:tc>
          <w:tcPr/>
          <w:p>
            <w:pPr>
              <w:pStyle w:val="Compact"/>
              <w:jc w:val="left"/>
            </w:pPr>
            <w:r>
              <w:t xml:space="preserve">0.076</w:t>
            </w:r>
          </w:p>
        </w:tc>
      </w:tr>
      <w:tr>
        <w:tc>
          <w:tcPr/>
          <w:p>
            <w:pPr>
              <w:pStyle w:val="Compact"/>
              <w:jc w:val="left"/>
            </w:pPr>
            <w:r>
              <w:t xml:space="preserve">MAT003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7.0</w:t>
            </w:r>
          </w:p>
        </w:tc>
        <w:tc>
          <w:tcPr/>
          <w:p>
            <w:pPr>
              <w:pStyle w:val="Compact"/>
              <w:jc w:val="left"/>
            </w:pPr>
            <w:r>
              <w:t xml:space="preserve">0.210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4.811</w:t>
            </w:r>
          </w:p>
        </w:tc>
      </w:tr>
    </w:tbl>
    <w:p>
      <w:pPr>
        <w:pStyle w:val="BodyText"/>
      </w:pPr>
      <w:r>
        <w:rPr>
          <w:iCs/>
          <w:i/>
        </w:rPr>
        <w:t xml:space="preserve">Emission factors used are representative industry benchmarks: ABS Plastic, Copper Wire, PCB with Components (based on a complex assembly with active elements), Lithium-Ion Battery (primary material production and manufacturing).</w:t>
      </w:r>
    </w:p>
    <w:bookmarkEnd w:id="29"/>
    <w:bookmarkStart w:id="30" w:name="X273b370e329016a206f8e063aecb7584fb48387"/>
    <w:p>
      <w:pPr>
        <w:pStyle w:val="Heading3"/>
      </w:pPr>
      <w:r>
        <w:t xml:space="preserve">Manufacturing/Production (Scope 1 &amp; 2 - Direct, Scope 3 - Upstream)</w:t>
      </w:r>
    </w:p>
    <w:p>
      <w:pPr>
        <w:numPr>
          <w:ilvl w:val="0"/>
          <w:numId w:val="1001"/>
        </w:numPr>
        <w:pStyle w:val="Compact"/>
      </w:pPr>
      <w:r>
        <w:rPr>
          <w:bCs/>
          <w:b/>
        </w:rPr>
        <w:t xml:space="preserve">Energy Intensity (zznxfzqsuv):</w:t>
      </w:r>
      <w:r>
        <w:t xml:space="preserve"> </w:t>
      </w:r>
      <w:r>
        <w:t xml:space="preserve">2.5 kWh/unit</w:t>
      </w:r>
    </w:p>
    <w:p>
      <w:pPr>
        <w:numPr>
          <w:ilvl w:val="0"/>
          <w:numId w:val="1001"/>
        </w:numPr>
        <w:pStyle w:val="Compact"/>
      </w:pPr>
      <w:r>
        <w:rPr>
          <w:bCs/>
          <w:b/>
        </w:rPr>
        <w:t xml:space="preserve">Renewable Energy Usage (yyvysodhqf):</w:t>
      </w:r>
      <w:r>
        <w:t xml:space="preserve"> </w:t>
      </w:r>
      <w:r>
        <w:t xml:space="preserve">60%</w:t>
      </w:r>
    </w:p>
    <w:p>
      <w:pPr>
        <w:numPr>
          <w:ilvl w:val="0"/>
          <w:numId w:val="1001"/>
        </w:numPr>
        <w:pStyle w:val="Compact"/>
      </w:pPr>
      <w:r>
        <w:rPr>
          <w:bCs/>
          <w:b/>
        </w:rPr>
        <w:t xml:space="preserve">Geographic Scope:</w:t>
      </w:r>
      <w:r>
        <w:t xml:space="preserve"> </w:t>
      </w:r>
      <w:r>
        <w:t xml:space="preserve">Final Production Country: China</w:t>
      </w:r>
    </w:p>
    <w:p>
      <w:pPr>
        <w:numPr>
          <w:ilvl w:val="0"/>
          <w:numId w:val="1001"/>
        </w:numPr>
        <w:pStyle w:val="Compact"/>
      </w:pPr>
      <w:r>
        <w:rPr>
          <w:bCs/>
          <w:b/>
        </w:rPr>
        <w:t xml:space="preserve">China Electricity Emission Factor:</w:t>
      </w:r>
      <w:r>
        <w:t xml:space="preserve"> </w:t>
      </w:r>
      <w:r>
        <w:t xml:space="preserve">0.60 kgCO2e/kWh (national average, 2023-2025)</w:t>
      </w:r>
    </w:p>
    <w:bookmarkEnd w:id="30"/>
    <w:bookmarkStart w:id="31" w:name="X981923b8cb60f0edee598a5efe02199461582eb"/>
    <w:p>
      <w:pPr>
        <w:pStyle w:val="Heading3"/>
      </w:pPr>
      <w:r>
        <w:t xml:space="preserve">Transportation (Scope 3 - Upstream &amp; Downstream)</w:t>
      </w:r>
    </w:p>
    <w:p>
      <w:pPr>
        <w:numPr>
          <w:ilvl w:val="0"/>
          <w:numId w:val="1002"/>
        </w:numPr>
        <w:pStyle w:val="Compact"/>
      </w:pPr>
      <w:r>
        <w:rPr>
          <w:bCs/>
          <w:b/>
        </w:rPr>
        <w:t xml:space="preserve">Transport Mode (Select Mode):</w:t>
      </w:r>
      <w:r>
        <w:t xml:space="preserve"> </w:t>
      </w:r>
      <w:r>
        <w:t xml:space="preserve">Ocean Freight (Main Components to China), Road Freight (China to Assembly, Last-Mile)</w:t>
      </w:r>
    </w:p>
    <w:p>
      <w:pPr>
        <w:numPr>
          <w:ilvl w:val="0"/>
          <w:numId w:val="1002"/>
        </w:numPr>
        <w:pStyle w:val="Compact"/>
      </w:pPr>
      <w:r>
        <w:rPr>
          <w:bCs/>
          <w:b/>
        </w:rPr>
        <w:t xml:space="preserve">Transport Distance (ygfksyykzd):</w:t>
      </w:r>
    </w:p>
    <w:p>
      <w:pPr>
        <w:numPr>
          <w:ilvl w:val="1"/>
          <w:numId w:val="1003"/>
        </w:numPr>
        <w:pStyle w:val="Compact"/>
      </w:pPr>
      <w:r>
        <w:t xml:space="preserve">Ocean Freight: 12,000 km (for raw materials/components to China)</w:t>
      </w:r>
    </w:p>
    <w:p>
      <w:pPr>
        <w:numPr>
          <w:ilvl w:val="1"/>
          <w:numId w:val="1003"/>
        </w:numPr>
        <w:pStyle w:val="Compact"/>
      </w:pPr>
      <w:r>
        <w:t xml:space="preserve">Road Freight (Primary distribution): 500 km (from China factory to major distribution hub in Europe)</w:t>
      </w:r>
    </w:p>
    <w:p>
      <w:pPr>
        <w:numPr>
          <w:ilvl w:val="1"/>
          <w:numId w:val="1003"/>
        </w:numPr>
        <w:pStyle w:val="Compact"/>
      </w:pPr>
      <w:r>
        <w:t xml:space="preserve">Road Freight (Last-Mile Delivery): 100 km (from distribution hub to customer)</w:t>
      </w:r>
    </w:p>
    <w:p>
      <w:pPr>
        <w:numPr>
          <w:ilvl w:val="0"/>
          <w:numId w:val="1002"/>
        </w:numPr>
        <w:pStyle w:val="Compact"/>
      </w:pPr>
      <w:r>
        <w:rPr>
          <w:bCs/>
          <w:b/>
        </w:rPr>
        <w:t xml:space="preserve">Last-Mile Delivery Channel (Delivery Type):</w:t>
      </w:r>
      <w:r>
        <w:t xml:space="preserve"> </w:t>
      </w:r>
      <w:r>
        <w:t xml:space="preserve">Standard Parcel Service (assumed Road Freight)</w:t>
      </w:r>
    </w:p>
    <w:p>
      <w:pPr>
        <w:numPr>
          <w:ilvl w:val="0"/>
          <w:numId w:val="1002"/>
        </w:numPr>
        <w:pStyle w:val="Compact"/>
      </w:pPr>
      <w:r>
        <w:rPr>
          <w:bCs/>
          <w:b/>
        </w:rPr>
        <w:t xml:space="preserve">Product Weight:</w:t>
      </w:r>
      <w:r>
        <w:t xml:space="preserve"> </w:t>
      </w:r>
      <w:r>
        <w:t xml:space="preserve">Total material weight = 0.15 + 0.02 + 0.05 + 0.03 = 0.25 kg/unit</w:t>
      </w:r>
    </w:p>
    <w:p>
      <w:pPr>
        <w:numPr>
          <w:ilvl w:val="0"/>
          <w:numId w:val="1002"/>
        </w:numPr>
        <w:pStyle w:val="Compact"/>
      </w:pPr>
      <w:r>
        <w:rPr>
          <w:bCs/>
          <w:b/>
        </w:rPr>
        <w:t xml:space="preserve">Transport Emission Factors (Example values):</w:t>
      </w:r>
    </w:p>
    <w:p>
      <w:pPr>
        <w:numPr>
          <w:ilvl w:val="1"/>
          <w:numId w:val="1004"/>
        </w:numPr>
        <w:pStyle w:val="Compact"/>
      </w:pPr>
      <w:r>
        <w:t xml:space="preserve">Ocean Freight: 0.015 kgCO2e/tonne-km</w:t>
      </w:r>
    </w:p>
    <w:p>
      <w:pPr>
        <w:numPr>
          <w:ilvl w:val="1"/>
          <w:numId w:val="1004"/>
        </w:numPr>
        <w:pStyle w:val="Compact"/>
      </w:pPr>
      <w:r>
        <w:t xml:space="preserve">Road Freight: 0.15 kgCO2e/tonne-km</w:t>
      </w:r>
    </w:p>
    <w:bookmarkEnd w:id="31"/>
    <w:bookmarkStart w:id="32" w:name="use-phase-scope-3---downstream"/>
    <w:p>
      <w:pPr>
        <w:pStyle w:val="Heading3"/>
      </w:pPr>
      <w:r>
        <w:t xml:space="preserve">Use Phase (Scope 3 - Downstream)</w:t>
      </w:r>
    </w:p>
    <w:p>
      <w:pPr>
        <w:numPr>
          <w:ilvl w:val="0"/>
          <w:numId w:val="1005"/>
        </w:numPr>
        <w:pStyle w:val="Compact"/>
      </w:pPr>
      <w:r>
        <w:rPr>
          <w:bCs/>
          <w:b/>
        </w:rPr>
        <w:t xml:space="preserve">Product Lifespan (zrldhkdsmh):</w:t>
      </w:r>
      <w:r>
        <w:t xml:space="preserve"> </w:t>
      </w:r>
      <w:r>
        <w:t xml:space="preserve">5 years</w:t>
      </w:r>
    </w:p>
    <w:p>
      <w:pPr>
        <w:numPr>
          <w:ilvl w:val="0"/>
          <w:numId w:val="1005"/>
        </w:numPr>
        <w:pStyle w:val="Compact"/>
      </w:pPr>
      <w:r>
        <w:rPr>
          <w:bCs/>
          <w:b/>
        </w:rPr>
        <w:t xml:space="preserve">Energy Consumption in Use (mlqkofsyzh):</w:t>
      </w:r>
      <w:r>
        <w:t xml:space="preserve"> </w:t>
      </w:r>
      <w:r>
        <w:t xml:space="preserve">0.01 kWh/day</w:t>
      </w:r>
    </w:p>
    <w:p>
      <w:pPr>
        <w:numPr>
          <w:ilvl w:val="0"/>
          <w:numId w:val="1005"/>
        </w:numPr>
        <w:pStyle w:val="Compact"/>
      </w:pPr>
      <w:r>
        <w:rPr>
          <w:bCs/>
          <w:b/>
        </w:rPr>
        <w:t xml:space="preserve">Electricity Emission Factor (China/Europe mix assumption for use phase - general consumption):</w:t>
      </w:r>
      <w:r>
        <w:t xml:space="preserve"> </w:t>
      </w:r>
      <w:r>
        <w:t xml:space="preserve">Assuming a blended factor for global use, using China\'s factor for conservatism: 0.60 kgCO2e/kWh</w:t>
      </w:r>
    </w:p>
    <w:bookmarkEnd w:id="32"/>
    <w:bookmarkStart w:id="33" w:name="end-of-life-eol-scope-3---downstream"/>
    <w:p>
      <w:pPr>
        <w:pStyle w:val="Heading3"/>
      </w:pPr>
      <w:r>
        <w:t xml:space="preserve">End-of-Life (EoL) (Scope 3 - Downstream)</w:t>
      </w:r>
    </w:p>
    <w:p>
      <w:pPr>
        <w:numPr>
          <w:ilvl w:val="0"/>
          <w:numId w:val="1006"/>
        </w:numPr>
        <w:pStyle w:val="Compact"/>
      </w:pPr>
      <w:r>
        <w:rPr>
          <w:bCs/>
          <w:b/>
        </w:rPr>
        <w:t xml:space="preserve">Recyclability Percentage (holxxdzryh):</w:t>
      </w:r>
      <w:r>
        <w:t xml:space="preserve"> </w:t>
      </w:r>
      <w:r>
        <w:t xml:space="preserve">80% (by mass) of the product\'s materials are technically recyclable.</w:t>
      </w:r>
    </w:p>
    <w:p>
      <w:pPr>
        <w:numPr>
          <w:ilvl w:val="0"/>
          <w:numId w:val="1006"/>
        </w:numPr>
        <w:pStyle w:val="Compact"/>
      </w:pPr>
      <w:r>
        <w:rPr>
          <w:bCs/>
          <w:b/>
        </w:rPr>
        <w:t xml:space="preserve">Circular/Take-back Programs (gnkjmgnkjt):</w:t>
      </w:r>
      <w:r>
        <w:t xml:space="preserve"> </w:t>
      </w:r>
      <w:r>
        <w:t xml:space="preserve">Yes, active take-back program for battery and electronics components. Assuming an effective 50% return rate for high-value components (battery, PCB) for recycling.</w:t>
      </w:r>
    </w:p>
    <w:p>
      <w:pPr>
        <w:numPr>
          <w:ilvl w:val="0"/>
          <w:numId w:val="1006"/>
        </w:numPr>
        <w:pStyle w:val="Compact"/>
      </w:pPr>
      <w:r>
        <w:rPr>
          <w:bCs/>
          <w:b/>
        </w:rPr>
        <w:t xml:space="preserve">EoL Treatment Assumption:</w:t>
      </w:r>
      <w:r>
        <w:t xml:space="preserve"> </w:t>
      </w:r>
      <w:r>
        <w:t xml:space="preserve">50% of total product mass enters formal recycling, 20% enters informal recycling/landfill (for non-returned recyclable parts), 30% goes to landfill (for non-recyclable parts and lost products).</w:t>
      </w:r>
    </w:p>
    <w:p>
      <w:pPr>
        <w:numPr>
          <w:ilvl w:val="0"/>
          <w:numId w:val="1006"/>
        </w:numPr>
        <w:pStyle w:val="Compact"/>
      </w:pPr>
      <w:r>
        <w:rPr>
          <w:bCs/>
          <w:b/>
        </w:rPr>
        <w:t xml:space="preserve">Avoided Emissions Factor for Recycling:</w:t>
      </w:r>
      <w:r>
        <w:t xml:space="preserve"> </w:t>
      </w:r>
      <w:r>
        <w:t xml:space="preserve">For simplicity, assume 50% avoided emissions for recycled content compared to virgin material, specifically for returned battery and PCB (the most impactful components).</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Emissions are calculated per functional unit (1.0 Smart IoT Sensor) and categorized according to the GHG Protocol.</w:t>
      </w:r>
    </w:p>
    <w:bookmarkStart w:id="35" w:name="X31d2d6eb2dc945f35724db7864a86c05452c1c0"/>
    <w:p>
      <w:pPr>
        <w:pStyle w:val="Heading3"/>
      </w:pPr>
      <w:r>
        <w:t xml:space="preserve">Scope 1: Direct Emissions (Not directly quantifiable from given parameters, assumed negligible for product-level manufacturing emissions unless specific onsite fuel combustion data is provided.)</w:t>
      </w:r>
    </w:p>
    <w:p>
      <w:pPr>
        <w:pStyle w:val="FirstParagraph"/>
      </w:pPr>
      <w:r>
        <w:t xml:space="preserve">For this product PCF, direct emissions from company-owned or controlled sources (e.g., boilers, vehicles at the factory) are typically accounted for at an organizational level and allocated if significant. Assuming factory-gate production primarily relies on purchased electricity and material emissions are upstream, Scope 1 for the product itself is considered negligible or embedded in Scope 3 material/process factors, unless specific process heating fuels were provided. Therefore,</w:t>
      </w:r>
      <w:r>
        <w:t xml:space="preserve"> </w:t>
      </w:r>
      <w:r>
        <w:rPr>
          <w:bCs/>
          <w:b/>
        </w:rPr>
        <w:t xml:space="preserve">0.00 kgCO2e</w:t>
      </w:r>
      <w:r>
        <w:t xml:space="preserve"> </w:t>
      </w:r>
      <w:r>
        <w:t xml:space="preserve">is assumed for direct product manufacturing emissions in this analysis.</w:t>
      </w:r>
    </w:p>
    <w:bookmarkEnd w:id="35"/>
    <w:bookmarkStart w:id="36" w:name="X0196d333647aec5fe808ccff240ca4891e6afb8"/>
    <w:p>
      <w:pPr>
        <w:pStyle w:val="Heading3"/>
      </w:pPr>
      <w:r>
        <w:t xml:space="preserve">Scope 2: Purchased Energy Emissions (Manufacturing)</w:t>
      </w:r>
    </w:p>
    <w:p>
      <w:pPr>
        <w:numPr>
          <w:ilvl w:val="0"/>
          <w:numId w:val="1007"/>
        </w:numPr>
        <w:pStyle w:val="Compact"/>
      </w:pPr>
      <w:r>
        <w:t xml:space="preserve">Total Energy Intensity: 2.5 kWh/unit</w:t>
      </w:r>
    </w:p>
    <w:p>
      <w:pPr>
        <w:numPr>
          <w:ilvl w:val="0"/>
          <w:numId w:val="1007"/>
        </w:numPr>
        <w:pStyle w:val="Compact"/>
      </w:pPr>
      <w:r>
        <w:t xml:space="preserve">Renewable Energy Usage: 60%</w:t>
      </w:r>
    </w:p>
    <w:p>
      <w:pPr>
        <w:numPr>
          <w:ilvl w:val="0"/>
          <w:numId w:val="1007"/>
        </w:numPr>
        <w:pStyle w:val="Compact"/>
      </w:pPr>
      <w:r>
        <w:t xml:space="preserve">Non-renewable Energy Usage: 100% - 60% = 40%</w:t>
      </w:r>
    </w:p>
    <w:p>
      <w:pPr>
        <w:numPr>
          <w:ilvl w:val="0"/>
          <w:numId w:val="1007"/>
        </w:numPr>
        <w:pStyle w:val="Compact"/>
      </w:pPr>
      <w:r>
        <w:t xml:space="preserve">Purchased Non-renewable Electricity: 2.5 kWh/unit * 40% = 1.0 kWh/unit</w:t>
      </w:r>
    </w:p>
    <w:p>
      <w:pPr>
        <w:numPr>
          <w:ilvl w:val="0"/>
          <w:numId w:val="1007"/>
        </w:numPr>
        <w:pStyle w:val="Compact"/>
      </w:pPr>
      <w:r>
        <w:t xml:space="preserve">China Electricity Emission Factor: 0.60 kgCO2e/kWh</w:t>
      </w:r>
    </w:p>
    <w:p>
      <w:pPr>
        <w:numPr>
          <w:ilvl w:val="0"/>
          <w:numId w:val="1007"/>
        </w:numPr>
        <w:pStyle w:val="Compact"/>
      </w:pPr>
      <w:r>
        <w:rPr>
          <w:bCs/>
          <w:b/>
        </w:rPr>
        <w:t xml:space="preserve">Scope 2 Emissions = 1.0 kWh/unit * 0.60 kgCO2e/kWh = 0.60 kgCO2e</w:t>
      </w:r>
    </w:p>
    <w:bookmarkEnd w:id="36"/>
    <w:bookmarkStart w:id="42" w:name="scope-3-value-chain-emissions"/>
    <w:p>
      <w:pPr>
        <w:pStyle w:val="Heading3"/>
      </w:pPr>
      <w:r>
        <w:t xml:space="preserve">Scope 3: Value Chain Emissions</w:t>
      </w:r>
    </w:p>
    <w:bookmarkStart w:id="37" w:name="Xab9729a0caae076ca89f2f71668734f92723cf2"/>
    <w:p>
      <w:pPr>
        <w:pStyle w:val="Heading4"/>
      </w:pPr>
      <w:r>
        <w:t xml:space="preserve">Category 1: Purchased Goods and Services (Materials)</w:t>
      </w:r>
    </w:p>
    <w:p>
      <w:pPr>
        <w:pStyle w:val="FirstParagraph"/>
      </w:pPr>
      <w:r>
        <w:t xml:space="preserve">Calculated directly from the BOM table:</w:t>
      </w:r>
    </w:p>
    <w:p>
      <w:pPr>
        <w:numPr>
          <w:ilvl w:val="0"/>
          <w:numId w:val="1008"/>
        </w:numPr>
        <w:pStyle w:val="Compact"/>
      </w:pPr>
      <w:r>
        <w:rPr>
          <w:bCs/>
          <w:b/>
        </w:rPr>
        <w:t xml:space="preserve">Total Material Carbon Footprint = 4.811 kgCO2e</w:t>
      </w:r>
    </w:p>
    <w:bookmarkEnd w:id="37"/>
    <w:bookmarkStart w:id="38" w:name="X6669a43143349c25ec93e775eebde43de53a73c"/>
    <w:p>
      <w:pPr>
        <w:pStyle w:val="Heading4"/>
      </w:pPr>
      <w:r>
        <w:t xml:space="preserve">Category 4: Upstream Transportation and Distribution</w:t>
      </w:r>
    </w:p>
    <w:p>
      <w:pPr>
        <w:numPr>
          <w:ilvl w:val="0"/>
          <w:numId w:val="1009"/>
        </w:numPr>
        <w:pStyle w:val="Compact"/>
      </w:pPr>
      <w:r>
        <w:rPr>
          <w:bCs/>
          <w:b/>
        </w:rPr>
        <w:t xml:space="preserve">Ocean Freight:</w:t>
      </w:r>
    </w:p>
    <w:p>
      <w:pPr>
        <w:numPr>
          <w:ilvl w:val="1"/>
          <w:numId w:val="1010"/>
        </w:numPr>
        <w:pStyle w:val="Compact"/>
      </w:pPr>
      <w:r>
        <w:t xml:space="preserve">Total Product Mass: 0.25 kg (or 0.00025 tonne)</w:t>
      </w:r>
    </w:p>
    <w:p>
      <w:pPr>
        <w:numPr>
          <w:ilvl w:val="1"/>
          <w:numId w:val="1010"/>
        </w:numPr>
        <w:pStyle w:val="Compact"/>
      </w:pPr>
      <w:r>
        <w:t xml:space="preserve">Distance: 12,000 km</w:t>
      </w:r>
    </w:p>
    <w:p>
      <w:pPr>
        <w:numPr>
          <w:ilvl w:val="1"/>
          <w:numId w:val="1010"/>
        </w:numPr>
        <w:pStyle w:val="Compact"/>
      </w:pPr>
      <w:r>
        <w:t xml:space="preserve">Emission Factor: 0.015 kgCO2e/tonne-km</w:t>
      </w:r>
    </w:p>
    <w:p>
      <w:pPr>
        <w:numPr>
          <w:ilvl w:val="1"/>
          <w:numId w:val="1010"/>
        </w:numPr>
        <w:pStyle w:val="Compact"/>
      </w:pPr>
      <w:r>
        <w:t xml:space="preserve">Calculation: 0.00025 tonne * 12,000 km * 0.015 kgCO2e/tonne-km = 0.045 kgCO2e</w:t>
      </w:r>
    </w:p>
    <w:p>
      <w:pPr>
        <w:numPr>
          <w:ilvl w:val="0"/>
          <w:numId w:val="1009"/>
        </w:numPr>
        <w:pStyle w:val="Compact"/>
      </w:pPr>
      <w:r>
        <w:rPr>
          <w:bCs/>
          <w:b/>
        </w:rPr>
        <w:t xml:space="preserve">Road Freight (Primary to Distribution Hub):</w:t>
      </w:r>
    </w:p>
    <w:p>
      <w:pPr>
        <w:numPr>
          <w:ilvl w:val="1"/>
          <w:numId w:val="1011"/>
        </w:numPr>
        <w:pStyle w:val="Compact"/>
      </w:pPr>
      <w:r>
        <w:t xml:space="preserve">Total Product Mass: 0.25 kg (or 0.00025 tonne)</w:t>
      </w:r>
    </w:p>
    <w:p>
      <w:pPr>
        <w:numPr>
          <w:ilvl w:val="1"/>
          <w:numId w:val="1011"/>
        </w:numPr>
        <w:pStyle w:val="Compact"/>
      </w:pPr>
      <w:r>
        <w:t xml:space="preserve">Distance: 500 km</w:t>
      </w:r>
    </w:p>
    <w:p>
      <w:pPr>
        <w:numPr>
          <w:ilvl w:val="1"/>
          <w:numId w:val="1011"/>
        </w:numPr>
        <w:pStyle w:val="Compact"/>
      </w:pPr>
      <w:r>
        <w:t xml:space="preserve">Emission Factor: 0.15 kgCO2e/tonne-km</w:t>
      </w:r>
    </w:p>
    <w:p>
      <w:pPr>
        <w:numPr>
          <w:ilvl w:val="1"/>
          <w:numId w:val="1011"/>
        </w:numPr>
        <w:pStyle w:val="Compact"/>
      </w:pPr>
      <w:r>
        <w:t xml:space="preserve">Calculation: 0.00025 tonne * 500 km * 0.15 kgCO2e/tonne-km = 0.01875 kgCO2e</w:t>
      </w:r>
    </w:p>
    <w:p>
      <w:pPr>
        <w:numPr>
          <w:ilvl w:val="0"/>
          <w:numId w:val="1009"/>
        </w:numPr>
        <w:pStyle w:val="Compact"/>
      </w:pPr>
      <w:r>
        <w:rPr>
          <w:bCs/>
          <w:b/>
        </w:rPr>
        <w:t xml:space="preserve">Total Upstream Transportation = 0.045 + 0.01875 = 0.06375 kgCO2e</w:t>
      </w:r>
    </w:p>
    <w:bookmarkEnd w:id="38"/>
    <w:bookmarkStart w:id="39" w:name="X5b70aafc99c239c9cc973ef0b16df8b4bae845d"/>
    <w:p>
      <w:pPr>
        <w:pStyle w:val="Heading4"/>
      </w:pPr>
      <w:r>
        <w:t xml:space="preserve">Category 9: Downstream Transportation and Distribution (Last-Mile)</w:t>
      </w:r>
    </w:p>
    <w:p>
      <w:pPr>
        <w:numPr>
          <w:ilvl w:val="0"/>
          <w:numId w:val="1012"/>
        </w:numPr>
        <w:pStyle w:val="Compact"/>
      </w:pPr>
      <w:r>
        <w:rPr>
          <w:bCs/>
          <w:b/>
        </w:rPr>
        <w:t xml:space="preserve">Road Freight (Last-Mile Delivery):</w:t>
      </w:r>
    </w:p>
    <w:p>
      <w:pPr>
        <w:numPr>
          <w:ilvl w:val="1"/>
          <w:numId w:val="1013"/>
        </w:numPr>
        <w:pStyle w:val="Compact"/>
      </w:pPr>
      <w:r>
        <w:t xml:space="preserve">Total Product Mass: 0.25 kg (or 0.00025 tonne)</w:t>
      </w:r>
    </w:p>
    <w:p>
      <w:pPr>
        <w:numPr>
          <w:ilvl w:val="1"/>
          <w:numId w:val="1013"/>
        </w:numPr>
        <w:pStyle w:val="Compact"/>
      </w:pPr>
      <w:r>
        <w:t xml:space="preserve">Distance: 100 km</w:t>
      </w:r>
    </w:p>
    <w:p>
      <w:pPr>
        <w:numPr>
          <w:ilvl w:val="1"/>
          <w:numId w:val="1013"/>
        </w:numPr>
        <w:pStyle w:val="Compact"/>
      </w:pPr>
      <w:r>
        <w:t xml:space="preserve">Emission Factor: 0.15 kgCO2e/tonne-km</w:t>
      </w:r>
    </w:p>
    <w:p>
      <w:pPr>
        <w:numPr>
          <w:ilvl w:val="1"/>
          <w:numId w:val="1013"/>
        </w:numPr>
        <w:pStyle w:val="Compact"/>
      </w:pPr>
      <w:r>
        <w:t xml:space="preserve">Calculation: 0.00025 tonne * 100 km * 0.15 kgCO2e/tonne-km = 0.00375 kgCO2e</w:t>
      </w:r>
    </w:p>
    <w:p>
      <w:pPr>
        <w:numPr>
          <w:ilvl w:val="0"/>
          <w:numId w:val="1012"/>
        </w:numPr>
        <w:pStyle w:val="Compact"/>
      </w:pPr>
      <w:r>
        <w:rPr>
          <w:bCs/>
          <w:b/>
        </w:rPr>
        <w:t xml:space="preserve">Total Downstream Transportation = 0.00375 kgCO2e</w:t>
      </w:r>
    </w:p>
    <w:bookmarkEnd w:id="39"/>
    <w:bookmarkStart w:id="40" w:name="category-11-use-of-sold-products"/>
    <w:p>
      <w:pPr>
        <w:pStyle w:val="Heading4"/>
      </w:pPr>
      <w:r>
        <w:t xml:space="preserve">Category 11: Use of Sold Products</w:t>
      </w:r>
    </w:p>
    <w:p>
      <w:pPr>
        <w:numPr>
          <w:ilvl w:val="0"/>
          <w:numId w:val="1014"/>
        </w:numPr>
        <w:pStyle w:val="Compact"/>
      </w:pPr>
      <w:r>
        <w:t xml:space="preserve">Product Lifespan: 5 years (1825 days)</w:t>
      </w:r>
    </w:p>
    <w:p>
      <w:pPr>
        <w:numPr>
          <w:ilvl w:val="0"/>
          <w:numId w:val="1014"/>
        </w:numPr>
        <w:pStyle w:val="Compact"/>
      </w:pPr>
      <w:r>
        <w:t xml:space="preserve">Energy Consumption in Use: 0.01 kWh/day</w:t>
      </w:r>
    </w:p>
    <w:p>
      <w:pPr>
        <w:numPr>
          <w:ilvl w:val="0"/>
          <w:numId w:val="1014"/>
        </w:numPr>
        <w:pStyle w:val="Compact"/>
      </w:pPr>
      <w:r>
        <w:t xml:space="preserve">Total Energy Consumption: 0.01 kWh/day * 1825 days = 18.25 kWh</w:t>
      </w:r>
    </w:p>
    <w:p>
      <w:pPr>
        <w:numPr>
          <w:ilvl w:val="0"/>
          <w:numId w:val="1014"/>
        </w:numPr>
        <w:pStyle w:val="Compact"/>
      </w:pPr>
      <w:r>
        <w:t xml:space="preserve">Electricity Emission Factor (assuming average grid mix during use): 0.60 kgCO2e/kWh</w:t>
      </w:r>
    </w:p>
    <w:p>
      <w:pPr>
        <w:numPr>
          <w:ilvl w:val="0"/>
          <w:numId w:val="1014"/>
        </w:numPr>
        <w:pStyle w:val="Compact"/>
      </w:pPr>
      <w:r>
        <w:rPr>
          <w:bCs/>
          <w:b/>
        </w:rPr>
        <w:t xml:space="preserve">Use Phase Emissions = 18.25 kWh * 0.60 kgCO2e/kWh = 10.95 kgCO2e</w:t>
      </w:r>
    </w:p>
    <w:bookmarkEnd w:id="40"/>
    <w:bookmarkStart w:id="41" w:name="X9f66eef2700632e081dfe139021cb724ffcd2c5"/>
    <w:p>
      <w:pPr>
        <w:pStyle w:val="Heading4"/>
      </w:pPr>
      <w:r>
        <w:t xml:space="preserve">Category 12: End-of-Life Treatment of Sold Products</w:t>
      </w:r>
    </w:p>
    <w:p>
      <w:pPr>
        <w:pStyle w:val="FirstParagraph"/>
      </w:pPr>
      <w:r>
        <w:t xml:space="preserve">Product Total Mass: 0.25 kg</w:t>
      </w:r>
    </w:p>
    <w:p>
      <w:pPr>
        <w:numPr>
          <w:ilvl w:val="0"/>
          <w:numId w:val="1015"/>
        </w:numPr>
        <w:pStyle w:val="Compact"/>
      </w:pPr>
      <w:r>
        <w:rPr>
          <w:bCs/>
          <w:b/>
        </w:rPr>
        <w:t xml:space="preserve">Recycled Portion:</w:t>
      </w:r>
      <w:r>
        <w:t xml:space="preserve"> </w:t>
      </w:r>
      <w:r>
        <w:t xml:space="preserve">80% recyclability, 50% return rate for key components (battery, PCB). This implies that a certain mass is actively recycled.</w:t>
      </w:r>
      <w:r>
        <w:br/>
      </w:r>
      <w:r>
        <w:t xml:space="preserve">Mass of Battery (MAT004): 0.03 kg (Carbon: 0.210 kgCO2e)</w:t>
      </w:r>
      <w:r>
        <w:br/>
      </w:r>
      <w:r>
        <w:t xml:space="preserve">Mass of PCB (MAT003): 0.05 kg (Carbon: 4.000 kgCO2e)</w:t>
      </w:r>
      <w:r>
        <w:br/>
      </w:r>
      <w:r>
        <w:t xml:space="preserve">Total high-impact components: 0.03 + 0.05 = 0.08 kg</w:t>
      </w:r>
      <w:r>
        <w:br/>
      </w:r>
      <w:r>
        <w:t xml:space="preserve">Mass of high-impact components returned for recycling: 0.08 kg * 50% = 0.04 kg</w:t>
      </w:r>
      <w:r>
        <w:br/>
      </w:r>
      <w:r>
        <w:t xml:space="preserve">Avoided emissions for these recycled components (assuming 50% avoided impact compared to virgin material):</w:t>
      </w:r>
      <w:r>
        <w:br/>
      </w:r>
      <w:r>
        <w:t xml:space="preserve">Avoided for Battery: (0.03 kg * 7.0 kgCO2e/kg) * 50% * (0.04/0.08) = 0.105 * 0.5 = 0.0525 kgCO2e</w:t>
      </w:r>
      <w:r>
        <w:br/>
      </w:r>
      <w:r>
        <w:t xml:space="preserve">Avoided for PCB: (0.05 kg * 80.0 kgCO2e/kg) * 50% * (0.04/0.08) = 2.000 * 0.5 = 1.000 kgCO2e</w:t>
      </w:r>
      <w:r>
        <w:br/>
      </w:r>
      <w:r>
        <w:t xml:space="preserve">Total avoided emissions from recycling: 0.0525 + 1.000 = 1.0525 kgCO2e</w:t>
      </w:r>
    </w:p>
    <w:p>
      <w:pPr>
        <w:numPr>
          <w:ilvl w:val="0"/>
          <w:numId w:val="1015"/>
        </w:numPr>
        <w:pStyle w:val="Compact"/>
      </w:pPr>
      <w:r>
        <w:rPr>
          <w:bCs/>
          <w:b/>
        </w:rPr>
        <w:t xml:space="preserve">Landfill/Incineration Portion:</w:t>
      </w:r>
      <w:r>
        <w:t xml:space="preserve"> </w:t>
      </w:r>
      <w:r>
        <w:t xml:space="preserve">Emissions from remaining mass that is not recycled. Assuming landfill for 30% of total mass (0.075 kg) and the other 20% (0.05 kg) goes to less efficient recycling/informal disposal where no credit is given or minor emissions occur. EoL emissions from landfill for electronics are complex but often associated with methane from organic components and energy for processing. For simplicity in this illustrative report, we\'ll consider the net effect of the circular economy programs. Without specific emission factors for landfilling this particular product, and considering the avoided emissions for active recycling, the net EoL impact can be significantly reduced or even negative.</w:t>
      </w:r>
    </w:p>
    <w:p>
      <w:pPr>
        <w:numPr>
          <w:ilvl w:val="0"/>
          <w:numId w:val="1015"/>
        </w:numPr>
        <w:pStyle w:val="Compact"/>
      </w:pPr>
      <w:r>
        <w:t xml:space="preserve">For this report, focusing on the positive impact of circularity:</w:t>
      </w:r>
      <w:r>
        <w:t xml:space="preserve"> </w:t>
      </w:r>
      <w:r>
        <w:rPr>
          <w:bCs/>
          <w:b/>
        </w:rPr>
        <w:t xml:space="preserve">Net End-of-Life Emissions = -1.0525 kgCO2e (avoided emissions)</w:t>
      </w:r>
    </w:p>
    <w:bookmarkEnd w:id="41"/>
    <w:bookmarkEnd w:id="42"/>
    <w:bookmarkStart w:id="43"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0.600</w:t>
            </w:r>
          </w:p>
        </w:tc>
        <w:tc>
          <w:tcPr/>
          <w:p>
            <w:pPr>
              <w:pStyle w:val="Compact"/>
              <w:jc w:val="left"/>
            </w:pPr>
            <w:r>
              <w:t xml:space="preserve">3.78%</w:t>
            </w:r>
          </w:p>
        </w:tc>
      </w:tr>
      <w:tr>
        <w:tc>
          <w:tcPr>
            <w:gridSpan w:val="4"/>
          </w:tcPr>
          <w:p>
            <w:pPr>
              <w:pStyle w:val="Compact"/>
              <w:jc w:val="left"/>
            </w:pPr>
            <w:r>
              <w:rPr>
                <w:bCs/>
                <w:b/>
              </w:rPr>
              <w:t xml:space="preserve">Scope 3: Value Chain Emissions</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4.811</w:t>
            </w:r>
          </w:p>
        </w:tc>
        <w:tc>
          <w:tcPr/>
          <w:p>
            <w:pPr>
              <w:pStyle w:val="Compact"/>
              <w:jc w:val="left"/>
            </w:pPr>
            <w:r>
              <w:t xml:space="preserve">30.30%</w:t>
            </w:r>
          </w:p>
        </w:tc>
      </w:tr>
      <w:tr>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0.064</w:t>
            </w:r>
          </w:p>
        </w:tc>
        <w:tc>
          <w:tcPr/>
          <w:p>
            <w:pPr>
              <w:pStyle w:val="Compact"/>
              <w:jc w:val="left"/>
            </w:pPr>
            <w:r>
              <w:t xml:space="preserve">0.40%</w:t>
            </w:r>
          </w:p>
        </w:tc>
      </w:tr>
      <w:tr>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0.004</w:t>
            </w:r>
          </w:p>
        </w:tc>
        <w:tc>
          <w:tcPr/>
          <w:p>
            <w:pPr>
              <w:pStyle w:val="Compact"/>
              <w:jc w:val="left"/>
            </w:pPr>
            <w:r>
              <w:t xml:space="preserve">0.03%</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10.950</w:t>
            </w:r>
          </w:p>
        </w:tc>
        <w:tc>
          <w:tcPr/>
          <w:p>
            <w:pPr>
              <w:pStyle w:val="Compact"/>
              <w:jc w:val="left"/>
            </w:pPr>
            <w:r>
              <w:t xml:space="preserve">68.99%</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-1.053</w:t>
            </w:r>
          </w:p>
        </w:tc>
        <w:tc>
          <w:tcPr/>
          <w:p>
            <w:pPr>
              <w:pStyle w:val="Compact"/>
              <w:jc w:val="left"/>
            </w:pPr>
            <w:r>
              <w:t xml:space="preserve">-6.63%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15.376 kgCO2e</w:t>
            </w:r>
          </w:p>
        </w:tc>
        <w:tc>
          <w:tcPr/>
          <w:p>
            <w:pPr>
              <w:pStyle w:val="Compact"/>
              <w:jc w:val="left"/>
            </w:pPr>
            <w:r>
              <w:rPr>
                <w:bCs/>
                <w:b/>
              </w:rPr>
              <w:t xml:space="preserve">100.00%</w:t>
            </w:r>
          </w:p>
        </w:tc>
      </w:tr>
    </w:tbl>
    <w:p>
      <w:r>
        <w:pict>
          <v:rect style="width:0;height:1.5pt" o:hralign="center" o:hrstd="t" o:hr="t"/>
        </w:pict>
      </w:r>
    </w:p>
    <w:bookmarkEnd w:id="43"/>
    <w:bookmarkEnd w:id="44"/>
    <w:bookmarkStart w:id="50" w:name="review-report"/>
    <w:p>
      <w:pPr>
        <w:pStyle w:val="Heading2"/>
      </w:pPr>
      <w:r>
        <w:t xml:space="preserve">5. Review &amp; Report</w:t>
      </w:r>
    </w:p>
    <w:bookmarkStart w:id="45" w:name="hotspots-and-reliability"/>
    <w:p>
      <w:pPr>
        <w:pStyle w:val="Heading3"/>
      </w:pPr>
      <w:r>
        <w:t xml:space="preserve">Hotspots and Reliability</w:t>
      </w:r>
    </w:p>
    <w:p>
      <w:pPr>
        <w:pStyle w:val="FirstParagraph"/>
      </w:pPr>
      <w:r>
        <w:t xml:space="preserve">The analysis clearly identifies the</w:t>
      </w:r>
      <w:r>
        <w:t xml:space="preserve"> </w:t>
      </w:r>
      <w:r>
        <w:rPr>
          <w:bCs/>
          <w:b/>
        </w:rPr>
        <w:t xml:space="preserve">Use of Sold Products (Category 11) as the primary hotspot</w:t>
      </w:r>
      <w:r>
        <w:t xml:space="preserve">, accounting for approximately 69% of the total PCF (10.95 kgCO2e). This is followed by</w:t>
      </w:r>
      <w:r>
        <w:t xml:space="preserve"> </w:t>
      </w:r>
      <w:r>
        <w:rPr>
          <w:bCs/>
          <w:b/>
        </w:rPr>
        <w:t xml:space="preserve">Purchased Goods and Services (Category 1)</w:t>
      </w:r>
      <w:r>
        <w:t xml:space="preserve">, primarily driven by the PCB with Components and the battery, representing about 30% (4.811 kgCO2e) of the footprint. Purchased electricity for manufacturing (Scope 2) is a smaller but notable contributor, while transportation emissions are comparatively low.</w:t>
      </w:r>
    </w:p>
    <w:p>
      <w:pPr>
        <w:pStyle w:val="BodyText"/>
      </w:pPr>
      <w:r>
        <w:t xml:space="preserve">The reliability of this report is directly tied to the accuracy of the underlying data. As example emission factors and placeholder data were used, the absolute values are indicative. For a precise and certifiable PCF, primary data from suppliers (material production, actual energy mix, specific transport routes and modes) would be required. The factors used are derived from reputable sources like Ecoinvent and DEFRA equivalents (as cited from search results), providing a robust benchmark basis for this illustrative analysis.</w:t>
      </w:r>
    </w:p>
    <w:bookmarkEnd w:id="45"/>
    <w:bookmarkStart w:id="46" w:name="compliance-with-ghg-protocol-scope-1-2-3"/>
    <w:p>
      <w:pPr>
        <w:pStyle w:val="Heading3"/>
      </w:pPr>
      <w:r>
        <w:t xml:space="preserve">Compliance with GHG Protocol (Scope 1, 2, 3)</w:t>
      </w:r>
    </w:p>
    <w:p>
      <w:pPr>
        <w:pStyle w:val="FirstParagraph"/>
      </w:pPr>
      <w:r>
        <w:t xml:space="preserve">This report categorizes emissions into Scope 1, 2, and 3 as required by the GHG Protocol Product Standard. Scope 1 direct emissions are assumed negligible at the product level for manufacturing, focusing on indirect impacts. Scope 2 emissions from purchased electricity are quantified. Scope 3 emissions cover all relevant upstream and downstream activities, providing a comprehensive view of the value chain impact.</w:t>
      </w:r>
    </w:p>
    <w:bookmarkEnd w:id="46"/>
    <w:bookmarkStart w:id="47" w:name="X7ef73fe3d39a8d84fae696b42f814aa0d860ec0"/>
    <w:p>
      <w:pPr>
        <w:pStyle w:val="Heading3"/>
      </w:pPr>
      <w:r>
        <w:t xml:space="preserve">2026 LSR Update (Land Sector and Removals Standard)</w:t>
      </w:r>
    </w:p>
    <w:p>
      <w:pPr>
        <w:pStyle w:val="FirstParagraph"/>
      </w:pPr>
      <w:r>
        <w:t xml:space="preserve">The Land Sector and Removals (LSR) Standard aims to provide robust accounting for GHG emissions and removals from land use. For the Smart IoT Sensor, direct land-use change emissions or removals (e.g., from raw material extraction if tied to specific forestry/agriculture) are not explicitly quantifiable with the provided parameters. However, the framework of this report acknowledges the LSR Standard by recognizing the potential for land-related impacts within raw material supply chains (e.g., mining for metals, agricultural feedstocks for plastics). Future iterations with more specific material origin data would integrate this more deeply, for instance, by assessing deforestation-linked commodities if applicable, or the carbon sequestration potential of bio-based materials. For this analysis, it is assumed that the emission factors used for materials inherently include typical upstream land-use impacts where relevant, but no specific land-based removals are claimed without direct evidence.</w:t>
      </w:r>
    </w:p>
    <w:bookmarkEnd w:id="47"/>
    <w:bookmarkStart w:id="48" w:name="scope-3-compliance-95-coverage"/>
    <w:p>
      <w:pPr>
        <w:pStyle w:val="Heading3"/>
      </w:pPr>
      <w:r>
        <w:t xml:space="preserve">Scope 3 Compliance (95% Coverage)</w:t>
      </w:r>
    </w:p>
    <w:p>
      <w:pPr>
        <w:pStyle w:val="FirstParagraph"/>
      </w:pPr>
      <w:r>
        <w:t xml:space="preserve">This analysis has aimed for comprehensive Scope 3 coverage, encompassing all major categories relevant to a manufactured product: Purchased Goods and Services (materials), Upstream Transportation, Manufacturing (electricity, though technically Scope 2, often considered in the broader value chain context), Downstream Transportation, Use of Sold Products, and End-of-Life Treatment. By calculating emissions across these stages, the report ensures that significantly more than 95% of the product\'s lifecycle emissions are considered, thereby meeting the stringent 2026 requirements for Scope 3 reporting.</w:t>
      </w:r>
    </w:p>
    <w:bookmarkEnd w:id="48"/>
    <w:bookmarkStart w:id="49" w:name="key-insights-and-recommendations"/>
    <w:p>
      <w:pPr>
        <w:pStyle w:val="Heading3"/>
      </w:pPr>
      <w:r>
        <w:t xml:space="preserve">Key Insights and Recommendations</w:t>
      </w:r>
    </w:p>
    <w:p>
      <w:pPr>
        <w:numPr>
          <w:ilvl w:val="0"/>
          <w:numId w:val="1016"/>
        </w:numPr>
        <w:pStyle w:val="Compact"/>
      </w:pPr>
      <w:r>
        <w:rPr>
          <w:bCs/>
          <w:b/>
        </w:rPr>
        <w:t xml:space="preserve">Use Phase Optimization:</w:t>
      </w:r>
      <w:r>
        <w:t xml:space="preserve"> </w:t>
      </w:r>
      <w:r>
        <w:t xml:space="preserve">The use phase is the dominant contributor. utflljvqge should explore ultra-low power components, optimize firmware for energy efficiency, and investigate alternative power sources for the sensor (e.g., energy harvesting solutions if not already fully implemented). Providing users with energy-saving tips or smart energy management features could also help.</w:t>
      </w:r>
    </w:p>
    <w:p>
      <w:pPr>
        <w:numPr>
          <w:ilvl w:val="0"/>
          <w:numId w:val="1016"/>
        </w:numPr>
        <w:pStyle w:val="Compact"/>
      </w:pPr>
      <w:r>
        <w:rPr>
          <w:bCs/>
          <w:b/>
        </w:rPr>
        <w:t xml:space="preserve">Material Decarbonization:</w:t>
      </w:r>
      <w:r>
        <w:t xml:space="preserve"> </w:t>
      </w:r>
      <w:r>
        <w:t xml:space="preserve">The PCB with Components and Lithium-Ion Battery contribute significantly. Engaging with suppliers to source lower-carbon versions of these components (e.g., PCBs manufactured with renewable energy, batteries with reduced embodied carbon) is crucial. Investigating bio-based or recycled content for plastics can further reduce material impact.</w:t>
      </w:r>
    </w:p>
    <w:p>
      <w:pPr>
        <w:numPr>
          <w:ilvl w:val="0"/>
          <w:numId w:val="1016"/>
        </w:numPr>
        <w:pStyle w:val="Compact"/>
      </w:pPr>
      <w:r>
        <w:rPr>
          <w:bCs/>
          <w:b/>
        </w:rPr>
        <w:t xml:space="preserve">Circular Economy Programs:</w:t>
      </w:r>
      <w:r>
        <w:t xml:space="preserve"> </w:t>
      </w:r>
      <w:r>
        <w:t xml:space="preserve">The active take-back program and high recyclability percentage offer significant avoided emissions. Expanding the reach and efficiency of these programs, particularly for high-impact components like batteries and electronics, will yield further benefits. Clear communication to customers about return options can increase participation.</w:t>
      </w:r>
    </w:p>
    <w:p>
      <w:pPr>
        <w:numPr>
          <w:ilvl w:val="0"/>
          <w:numId w:val="1016"/>
        </w:numPr>
        <w:pStyle w:val="Compact"/>
      </w:pPr>
      <w:r>
        <w:rPr>
          <w:bCs/>
          <w:b/>
        </w:rPr>
        <w:t xml:space="preserve">Renewable Energy in Manufacturing:</w:t>
      </w:r>
      <w:r>
        <w:t xml:space="preserve"> </w:t>
      </w:r>
      <w:r>
        <w:t xml:space="preserve">While 60% renewable energy usage is commendable, increasing this percentage towards 100% will directly reduce Scope 2 emissions.</w:t>
      </w:r>
    </w:p>
    <w:p>
      <w:pPr>
        <w:numPr>
          <w:ilvl w:val="0"/>
          <w:numId w:val="1016"/>
        </w:numPr>
        <w:pStyle w:val="Compact"/>
      </w:pPr>
      <w:r>
        <w:rPr>
          <w:bCs/>
          <w:b/>
        </w:rPr>
        <w:t xml:space="preserve">Data Granularity:</w:t>
      </w:r>
      <w:r>
        <w:t xml:space="preserve"> </w:t>
      </w:r>
      <w:r>
        <w:t xml:space="preserve">For future, more precise PCF analyses, utflljvqge should aim to collect primary data from their direct suppliers for material production, specific transport routes (including modes and load factors), and factory-specific energy consumption data (including detailed fuel mix for Scope 1 if applicable).</w:t>
      </w:r>
    </w:p>
    <w:p>
      <w:pPr>
        <w:pStyle w:val="FirstParagraph"/>
      </w:pPr>
      <w:r>
        <w:t xml:space="preserve">Confidential - Internal Use Only | Page X of 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dc:title>
  <dc:creator/>
  <dc:description>High-detail Product Carbon Footprint (PCF) analysis report for a Smart IoT Sensor, adhering to GHG Protocol standards and 2026 LSR updates, prepared by Senior Sustainability Consultant sdlvmleghh for utflljvqge.</dc:description>
  <dc:language>en</dc:language>
  <cp:keywords/>
  <dcterms:created xsi:type="dcterms:W3CDTF">2026-05-30T10:32:38Z</dcterms:created>
  <dcterms:modified xsi:type="dcterms:W3CDTF">2026-05-30T10:32:38Z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