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r>
        <w:t xml:space="preserve"> </w:t>
      </w:r>
      <w:r>
        <w:t xml:space="preserve">Unit</w:t>
      </w:r>
      <w:r>
        <w:t xml:space="preserve"> </w:t>
      </w:r>
      <w:r>
        <w:t xml:space="preserve">(jqutqwelwz)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IoT Sensor Unit (jqutqwelwz)</w:t>
      </w:r>
    </w:p>
    <w:p>
      <w:pPr>
        <w:pStyle w:val="BodyText"/>
      </w:pPr>
      <w:r>
        <w:rPr>
          <w:bCs/>
          <w:b/>
        </w:rPr>
        <w:t xml:space="preserve">Company Name:</w:t>
      </w:r>
      <w:r>
        <w:t xml:space="preserve"> </w:t>
      </w:r>
      <w:r>
        <w:t xml:space="preserve">InnovateTech Solutions (xrknvupqqn)</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Dr. Evelyn Kinsley (vkeqnzoiek)</w:t>
      </w:r>
    </w:p>
    <w:p>
      <w:pPr>
        <w:pStyle w:val="BodyText"/>
      </w:pPr>
      <w:r>
        <w:t xml:space="preserve">This report is generated based on available data and industry standards, providing an estimate of the Product Carbon Footprint. Actual impacts may vary with more precise primary data.</w:t>
      </w:r>
    </w:p>
    <w:bookmarkEnd w:id="20"/>
    <w:bookmarkStart w:id="21" w:name="X5c746fa2a12c796532bdd39f991f8714af90136"/>
    <w:p>
      <w:pPr>
        <w:pStyle w:val="Heading1"/>
      </w:pPr>
      <w:r>
        <w:t xml:space="preserve">Product Carbon Footprint Analysis Report for Smart IoT Sensor Unit (jqutqwelwz)</w:t>
      </w:r>
    </w:p>
    <w:p>
      <w:pPr>
        <w:pStyle w:val="FirstParagraph"/>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Unit (jqutqwelwz) manufactured by InnovateTech Solutions (xrknvupqqn). Conducted by Senior Sustainability Consultant Dr. Evelyn Kinsley (vkeqnzoiek), this assessment adheres to the Greenhouse Gas (GHG) Protocol standards, including the latest 2026 Land Sector and Removals (LSR) Standard updates and a stringent 95% Scope 3 coverage requirement. The analysis covers a comprehensive lifecycle from raw material acquisition to end-of-life, providing insights into emission hotspots across the product\'s value chain.</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the Smart IoT Sensor Unit (jqutqwelwz) follows the Greenhouse Gas (GHG) Protocol Product Standard. This internationally recognized framework ensures consistency, transparency, and comparability in GHG accounting. The core methodology involves five key steps: Define Scope, Map Lifecycle, Collect Data, Calculate Emissions, and Review &amp; Report.</w:t>
      </w:r>
    </w:p>
    <w:bookmarkStart w:id="23" w:name="X25ab271e0b973df754491ec5ddcb2d245f47eaf"/>
    <w:p>
      <w:pPr>
        <w:pStyle w:val="Heading3"/>
      </w:pPr>
      <w:r>
        <w:t xml:space="preserve">1.1. GHG Protocol Adherence and 2026 LSR Update</w:t>
      </w:r>
    </w:p>
    <w:p>
      <w:pPr>
        <w:pStyle w:val="FirstParagraph"/>
      </w:pPr>
      <w:r>
        <w:t xml:space="preserve">This analysis categorizes emissions into Scope 1 (direct emissions from owned or controlled sources), Scope 2 (indirect emissions from the generation of purchased energy), and Scope 3 (all other indirect emissions that occur in the value chain of the reporting company).</w:t>
      </w:r>
    </w:p>
    <w:p>
      <w:pPr>
        <w:pStyle w:val="BodyText"/>
      </w:pPr>
      <w:r>
        <w:t xml:space="preserve">In line with the 2026 requirements, this report applies the Land Sector and Removals (LSR) Standard. Although specific land-use changes for raw material acquisition are not explicitly provided in the Bill of Materials, the LSR Standard acknowledges the importance of quantifying, reporting, and tracking land emissions and CO₂ removals. InnovateTech Solutions is committed to integrating more granular land-use data as it becomes available to enhance future reporting, aligning with the standard\'s effective date of January 1, 2027.</w:t>
      </w:r>
    </w:p>
    <w:p>
      <w:pPr>
        <w:pStyle w:val="BodyText"/>
      </w:pPr>
      <w:r>
        <w:t xml:space="preserve">Furthermore, this PCF analysis ensures at least 95% coverage for Scope 3 reporting, meeting the stringent 2026 requirements for comprehensive value chain emissions disclosure. This level of coverage provides a robust and reliable assessment of the product\'s environmental impact beyond direct operations.</w:t>
      </w:r>
    </w:p>
    <w:bookmarkEnd w:id="23"/>
    <w:bookmarkStart w:id="24"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Smart IoT Sensor Unit (jqutqwelwz)</w:t>
      </w:r>
      <w:r>
        <w:t xml:space="preserve">.</w:t>
      </w:r>
    </w:p>
    <w:bookmarkEnd w:id="24"/>
    <w:bookmarkStart w:id="25" w:name="system-boundary"/>
    <w:p>
      <w:pPr>
        <w:pStyle w:val="Heading3"/>
      </w:pPr>
      <w:r>
        <w:t xml:space="preserve">1.3. System Boundary</w:t>
      </w:r>
    </w:p>
    <w:p>
      <w:pPr>
        <w:pStyle w:val="FirstParagraph"/>
      </w:pPr>
      <w:r>
        <w:t xml:space="preserve">While the primary PCF boundary is defined as</w:t>
      </w:r>
      <w:r>
        <w:t xml:space="preserve"> </w:t>
      </w:r>
      <w:r>
        <w:rPr>
          <w:bCs/>
          <w:b/>
        </w:rPr>
        <w:t xml:space="preserve">factory_gate</w:t>
      </w:r>
      <w:r>
        <w:t xml:space="preserve">, the analysis extends to a "Cradle-to-Grave" approach for comprehensive Scope 3 reporting, incorporating the use phase and end-of-life scenarios as requested by the parameters. This extended boundary ensures all relevant lifecycle stages are considered, aligning with the requirement for robust Scope 3 coverage.</w:t>
      </w:r>
    </w:p>
    <w:bookmarkEnd w:id="25"/>
    <w:bookmarkStart w:id="26" w:name="geographic-scope"/>
    <w:p>
      <w:pPr>
        <w:pStyle w:val="Heading3"/>
      </w:pPr>
      <w:r>
        <w:t xml:space="preserve">1.4. Geographic Scope</w:t>
      </w:r>
    </w:p>
    <w:p>
      <w:pPr>
        <w:pStyle w:val="FirstParagraph"/>
      </w:pPr>
      <w:r>
        <w:t xml:space="preserve">The geographic scope covers a</w:t>
      </w:r>
      <w:r>
        <w:t xml:space="preserve"> </w:t>
      </w:r>
      <w:r>
        <w:rPr>
          <w:bCs/>
          <w:b/>
        </w:rPr>
        <w:t xml:space="preserve">Final Production Country: China</w:t>
      </w:r>
      <w:r>
        <w:t xml:space="preserve">, with a</w:t>
      </w:r>
      <w:r>
        <w:t xml:space="preserve"> </w:t>
      </w:r>
      <w:r>
        <w:rPr>
          <w:bCs/>
          <w:b/>
        </w:rPr>
        <w:t xml:space="preserve">Supply Chain Focus: Europe Focused</w:t>
      </w:r>
      <w:r>
        <w:t xml:space="preserve"> </w:t>
      </w:r>
      <w:r>
        <w:t xml:space="preserve">for upstream activities, reflecting the global nature of modern supply chains.</w:t>
      </w:r>
    </w:p>
    <w:bookmarkEnd w:id="26"/>
    <w:bookmarkStart w:id="27" w:name="allocation"/>
    <w:p>
      <w:pPr>
        <w:pStyle w:val="Heading3"/>
      </w:pPr>
      <w:r>
        <w:t xml:space="preserve">1.5. Allocation</w:t>
      </w:r>
    </w:p>
    <w:p>
      <w:pPr>
        <w:pStyle w:val="FirstParagraph"/>
      </w:pPr>
      <w:r>
        <w:t xml:space="preserve">Emissions are allocated directly to the functional unit. In cases of multi-output processes within the supply chain, mass-based allocation is assumed where specific allocation rules are not provided by emission factor databases.</w:t>
      </w:r>
    </w:p>
    <w:p>
      <w:r>
        <w:pict>
          <v:rect style="width:0;height:1.5pt" o:hralign="center" o:hrstd="t" o:hr="t"/>
        </w:pict>
      </w:r>
    </w:p>
    <w:bookmarkEnd w:id="27"/>
    <w:bookmarkEnd w:id="28"/>
    <w:bookmarkStart w:id="34" w:name="lifecycle-mapping-and-data-collection"/>
    <w:p>
      <w:pPr>
        <w:pStyle w:val="Heading2"/>
      </w:pPr>
      <w:r>
        <w:t xml:space="preserve">2. Lifecycle Mapping and Data Collection</w:t>
      </w:r>
    </w:p>
    <w:p>
      <w:pPr>
        <w:pStyle w:val="FirstParagraph"/>
      </w:pPr>
      <w:r>
        <w:t xml:space="preserve">This section details the lifecycle stages considered and the data points collected for the PCF calculation, emphasizing the high-accuracy material impact calculation using the provided Bill of Materials (BOM) and specific operational data.</w:t>
      </w:r>
    </w:p>
    <w:bookmarkStart w:id="29" w:name="X9803937598735f2ab7b64617febf9b7bd8db44e"/>
    <w:p>
      <w:pPr>
        <w:pStyle w:val="Heading3"/>
      </w:pPr>
      <w:r>
        <w:t xml:space="preserve">2.1. Detailed Bill of Materials (BOM) - mhnkzvlt</w:t>
      </w:r>
    </w:p>
    <w:p>
      <w:pPr>
        <w:pStyle w:val="FirstParagraph"/>
      </w:pPr>
      <w:r>
        <w:t xml:space="preserve">The following table presents the detailed Bill of Materials (BOM) for the Smart IoT Sensor Unit, including quantities, units, and specific emission factors used for material acquisition and pre-processing. These factors represent cradle-to-gate emissions for each material and are crucial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M002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w:t>
            </w:r>
          </w:p>
        </w:tc>
        <w:tc>
          <w:tcPr/>
          <w:p>
            <w:pPr>
              <w:pStyle w:val="Compact"/>
              <w:jc w:val="left"/>
            </w:pPr>
            <w:r>
              <w:t xml:space="preserve">0.45</w:t>
            </w:r>
          </w:p>
        </w:tc>
      </w:tr>
      <w:tr>
        <w:tc>
          <w:tcPr/>
          <w:p>
            <w:pPr>
              <w:pStyle w:val="Compact"/>
              <w:jc w:val="left"/>
            </w:pPr>
            <w:r>
              <w:t xml:space="preserve">M003</w:t>
            </w:r>
          </w:p>
        </w:tc>
        <w:tc>
          <w:tcPr/>
          <w:p>
            <w:pPr>
              <w:pStyle w:val="Compact"/>
              <w:jc w:val="left"/>
            </w:pPr>
            <w:r>
              <w:t xml:space="preserve">Silicon Microcontroller</w:t>
            </w:r>
          </w:p>
        </w:tc>
        <w:tc>
          <w:tcPr/>
          <w:p>
            <w:pPr>
              <w:pStyle w:val="Compact"/>
              <w:jc w:val="left"/>
            </w:pPr>
            <w:r>
              <w:t xml:space="preserve">Electronic</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w:t>
            </w:r>
          </w:p>
        </w:tc>
        <w:tc>
          <w:tcPr/>
          <w:p>
            <w:pPr>
              <w:pStyle w:val="Compact"/>
              <w:jc w:val="left"/>
            </w:pPr>
            <w:r>
              <w:t xml:space="preserve">0.12</w:t>
            </w:r>
          </w:p>
        </w:tc>
      </w:tr>
      <w:tr>
        <w:tc>
          <w:tcPr/>
          <w:p>
            <w:pPr>
              <w:pStyle w:val="Compact"/>
              <w:jc w:val="left"/>
            </w:pPr>
            <w:r>
              <w:t xml:space="preserve">M005</w:t>
            </w:r>
          </w:p>
        </w:tc>
        <w:tc>
          <w:tcPr/>
          <w:p>
            <w:pPr>
              <w:pStyle w:val="Compact"/>
              <w:jc w:val="left"/>
            </w:pPr>
            <w:r>
              <w:t xml:space="preserve">PCB Assembly</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kg</w:t>
            </w:r>
          </w:p>
        </w:tc>
        <w:tc>
          <w:tcPr/>
          <w:p>
            <w:pPr>
              <w:pStyle w:val="Compact"/>
              <w:jc w:val="left"/>
            </w:pPr>
            <w:r>
              <w:t xml:space="preserve">20.0</w:t>
            </w:r>
          </w:p>
        </w:tc>
        <w:tc>
          <w:tcPr/>
          <w:p>
            <w:pPr>
              <w:pStyle w:val="Compact"/>
              <w:jc w:val="left"/>
            </w:pPr>
            <w:r>
              <w:t xml:space="preserve">1.40</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M007</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r>
        <w:tc>
          <w:tcPr>
            <w:gridSpan w:val="7"/>
          </w:tcPr>
          <w:p>
            <w:pPr>
              <w:pStyle w:val="Compact"/>
              <w:jc w:val="right"/>
            </w:pPr>
            <w:r>
              <w:t xml:space="preserve">Total Material Emissions:</w:t>
            </w:r>
          </w:p>
        </w:tc>
        <w:tc>
          <w:tcPr/>
          <w:p>
            <w:pPr>
              <w:pStyle w:val="Compact"/>
              <w:jc w:val="left"/>
            </w:pPr>
            <w:r>
              <w:t xml:space="preserve">7.62 kg CO2e</w:t>
            </w:r>
          </w:p>
        </w:tc>
      </w:tr>
    </w:tbl>
    <w:bookmarkEnd w:id="29"/>
    <w:bookmarkStart w:id="30" w:name="energy-inputs-production-phase"/>
    <w:p>
      <w:pPr>
        <w:pStyle w:val="Heading3"/>
      </w:pPr>
      <w:r>
        <w:t xml:space="preserve">2.2. Energy Inputs (Production Phase)</w:t>
      </w:r>
    </w:p>
    <w:p>
      <w:pPr>
        <w:pStyle w:val="FirstParagraph"/>
      </w:pPr>
      <w:r>
        <w:t xml:space="preserve">The production phase energy consumption data is as follows:</w:t>
      </w:r>
    </w:p>
    <w:p>
      <w:pPr>
        <w:numPr>
          <w:ilvl w:val="0"/>
          <w:numId w:val="1001"/>
        </w:numPr>
        <w:pStyle w:val="Compact"/>
      </w:pPr>
      <w:r>
        <w:rPr>
          <w:bCs/>
          <w:b/>
        </w:rPr>
        <w:t xml:space="preserve">Energy Intensity (kWh/unit):</w:t>
      </w:r>
      <w:r>
        <w:t xml:space="preserve"> </w:t>
      </w:r>
      <w:r>
        <w:t xml:space="preserve">2.5 kWh/unit (ztxhgzlleo)</w:t>
      </w:r>
    </w:p>
    <w:p>
      <w:pPr>
        <w:numPr>
          <w:ilvl w:val="0"/>
          <w:numId w:val="1001"/>
        </w:numPr>
        <w:pStyle w:val="Compact"/>
      </w:pPr>
      <w:r>
        <w:rPr>
          <w:bCs/>
          <w:b/>
        </w:rPr>
        <w:t xml:space="preserve">Renewable Energy Usage:</w:t>
      </w:r>
      <w:r>
        <w:t xml:space="preserve"> </w:t>
      </w:r>
      <w:r>
        <w:t xml:space="preserve">30% (dipiwxnsoh)</w:t>
      </w:r>
    </w:p>
    <w:p>
      <w:pPr>
        <w:numPr>
          <w:ilvl w:val="0"/>
          <w:numId w:val="1001"/>
        </w:numPr>
        <w:pStyle w:val="Compact"/>
      </w:pPr>
      <w:r>
        <w:rPr>
          <w:bCs/>
          <w:b/>
        </w:rPr>
        <w:t xml:space="preserve">Non-renewable electricity used:</w:t>
      </w:r>
      <w:r>
        <w:t xml:space="preserve"> </w:t>
      </w:r>
      <w:r>
        <w:t xml:space="preserve">2.5 kWh/unit * (1 - 0.30) = 1.75 kWh/unit</w:t>
      </w:r>
    </w:p>
    <w:p>
      <w:pPr>
        <w:numPr>
          <w:ilvl w:val="0"/>
          <w:numId w:val="1001"/>
        </w:numPr>
        <w:pStyle w:val="Compact"/>
      </w:pPr>
      <w:r>
        <w:rPr>
          <w:bCs/>
          <w:b/>
        </w:rPr>
        <w:t xml:space="preserve">Electricity Emission Factor (China grid mix):</w:t>
      </w:r>
      <w:r>
        <w:t xml:space="preserve"> </w:t>
      </w:r>
      <w:r>
        <w:t xml:space="preserve">0.577 kg CO2e/kWh</w:t>
      </w:r>
    </w:p>
    <w:bookmarkEnd w:id="30"/>
    <w:bookmarkStart w:id="31" w:name="logistics-data-supply-chain"/>
    <w:p>
      <w:pPr>
        <w:pStyle w:val="Heading3"/>
      </w:pPr>
      <w:r>
        <w:t xml:space="preserve">2.3. Logistics Data (Supply Chain)</w:t>
      </w:r>
    </w:p>
    <w:p>
      <w:pPr>
        <w:pStyle w:val="FirstParagraph"/>
      </w:pPr>
      <w:r>
        <w:t xml:space="preserve">Transportation data is incorporated into the supply chain analysis for both upstream and downstream activities:</w:t>
      </w:r>
    </w:p>
    <w:p>
      <w:pPr>
        <w:numPr>
          <w:ilvl w:val="0"/>
          <w:numId w:val="1002"/>
        </w:numPr>
        <w:pStyle w:val="Compact"/>
      </w:pPr>
      <w:r>
        <w:rPr>
          <w:bCs/>
          <w:b/>
        </w:rPr>
        <w:t xml:space="preserve">Upstream Transport Mode (Raw materials to factory):</w:t>
      </w:r>
      <w:r>
        <w:t xml:space="preserve"> </w:t>
      </w:r>
      <w:r>
        <w:t xml:space="preserve">Ocean Freight (Container Ship)</w:t>
      </w:r>
    </w:p>
    <w:p>
      <w:pPr>
        <w:numPr>
          <w:ilvl w:val="0"/>
          <w:numId w:val="1002"/>
        </w:numPr>
        <w:pStyle w:val="Compact"/>
      </w:pPr>
      <w:r>
        <w:rPr>
          <w:bCs/>
          <w:b/>
        </w:rPr>
        <w:t xml:space="preserve">Upstream Transport Distance (rvegiytxgq):</w:t>
      </w:r>
      <w:r>
        <w:t xml:space="preserve"> </w:t>
      </w:r>
      <w:r>
        <w:t xml:space="preserve">10,000 km (Europe to China)</w:t>
      </w:r>
    </w:p>
    <w:p>
      <w:pPr>
        <w:numPr>
          <w:ilvl w:val="0"/>
          <w:numId w:val="1002"/>
        </w:numPr>
        <w:pStyle w:val="Compact"/>
      </w:pPr>
      <w:r>
        <w:rPr>
          <w:bCs/>
          <w:b/>
        </w:rPr>
        <w:t xml:space="preserve">Downstream Transport Mode (Factory to Regional Distribution):</w:t>
      </w:r>
      <w:r>
        <w:t xml:space="preserve"> </w:t>
      </w:r>
      <w:r>
        <w:t xml:space="preserve">Road Freight (Heavy Goods Vehicle)</w:t>
      </w:r>
    </w:p>
    <w:p>
      <w:pPr>
        <w:numPr>
          <w:ilvl w:val="0"/>
          <w:numId w:val="1002"/>
        </w:numPr>
        <w:pStyle w:val="Compact"/>
      </w:pPr>
      <w:r>
        <w:rPr>
          <w:bCs/>
          <w:b/>
        </w:rPr>
        <w:t xml:space="preserve">Downstream Transport Distance:</w:t>
      </w:r>
      <w:r>
        <w:t xml:space="preserve"> </w:t>
      </w:r>
      <w:r>
        <w:t xml:space="preserve">800 km</w:t>
      </w:r>
    </w:p>
    <w:p>
      <w:pPr>
        <w:numPr>
          <w:ilvl w:val="0"/>
          <w:numId w:val="1002"/>
        </w:numPr>
        <w:pStyle w:val="Compact"/>
      </w:pPr>
      <w:r>
        <w:rPr>
          <w:bCs/>
          <w:b/>
        </w:rPr>
        <w:t xml:space="preserve">Last-Mile Delivery Channel (Delivery Type):</w:t>
      </w:r>
      <w:r>
        <w:t xml:space="preserve"> </w:t>
      </w:r>
      <w:r>
        <w:t xml:space="preserve">Road Freight (Van)</w:t>
      </w:r>
    </w:p>
    <w:p>
      <w:pPr>
        <w:numPr>
          <w:ilvl w:val="0"/>
          <w:numId w:val="1002"/>
        </w:numPr>
        <w:pStyle w:val="Compact"/>
      </w:pPr>
      <w:r>
        <w:rPr>
          <w:bCs/>
          <w:b/>
        </w:rPr>
        <w:t xml:space="preserve">Last-Mile Delivery Distance:</w:t>
      </w:r>
      <w:r>
        <w:t xml:space="preserve"> </w:t>
      </w:r>
      <w:r>
        <w:t xml:space="preserve">50 km</w:t>
      </w:r>
    </w:p>
    <w:p>
      <w:pPr>
        <w:numPr>
          <w:ilvl w:val="0"/>
          <w:numId w:val="1002"/>
        </w:numPr>
        <w:pStyle w:val="Compact"/>
      </w:pPr>
      <w:r>
        <w:rPr>
          <w:bCs/>
          <w:b/>
        </w:rPr>
        <w:t xml:space="preserve">Total Product Weight for Transport:</w:t>
      </w:r>
      <w:r>
        <w:t xml:space="preserve"> </w:t>
      </w:r>
      <w:r>
        <w:t xml:space="preserve">0.6 kg</w:t>
      </w:r>
    </w:p>
    <w:bookmarkEnd w:id="31"/>
    <w:bookmarkStart w:id="32" w:name="use-phase-data"/>
    <w:p>
      <w:pPr>
        <w:pStyle w:val="Heading3"/>
      </w:pPr>
      <w:r>
        <w:t xml:space="preserve">2.4. Use Phase Data</w:t>
      </w:r>
    </w:p>
    <w:p>
      <w:pPr>
        <w:pStyle w:val="FirstParagraph"/>
      </w:pPr>
      <w:r>
        <w:t xml:space="preserve">The use phase calculation considers the product\'s lifespan and energy consumption:</w:t>
      </w:r>
    </w:p>
    <w:p>
      <w:pPr>
        <w:numPr>
          <w:ilvl w:val="0"/>
          <w:numId w:val="1003"/>
        </w:numPr>
        <w:pStyle w:val="Compact"/>
      </w:pPr>
      <w:r>
        <w:rPr>
          <w:bCs/>
          <w:b/>
        </w:rPr>
        <w:t xml:space="preserve">Product Lifespan (ssqdyjgkvi):</w:t>
      </w:r>
      <w:r>
        <w:t xml:space="preserve"> </w:t>
      </w:r>
      <w:r>
        <w:t xml:space="preserve">7 years</w:t>
      </w:r>
    </w:p>
    <w:p>
      <w:pPr>
        <w:numPr>
          <w:ilvl w:val="0"/>
          <w:numId w:val="1003"/>
        </w:numPr>
        <w:pStyle w:val="Compact"/>
      </w:pPr>
      <w:r>
        <w:rPr>
          <w:bCs/>
          <w:b/>
        </w:rPr>
        <w:t xml:space="preserve">Energy Consumption in Use (lemrlsxuqd):</w:t>
      </w:r>
      <w:r>
        <w:t xml:space="preserve"> </w:t>
      </w:r>
      <w:r>
        <w:t xml:space="preserve">5 kWh/year</w:t>
      </w:r>
    </w:p>
    <w:p>
      <w:pPr>
        <w:numPr>
          <w:ilvl w:val="0"/>
          <w:numId w:val="1003"/>
        </w:numPr>
        <w:pStyle w:val="Compact"/>
      </w:pPr>
      <w:r>
        <w:rPr>
          <w:bCs/>
          <w:b/>
        </w:rPr>
        <w:t xml:space="preserve">Total Use Phase Energy:</w:t>
      </w:r>
      <w:r>
        <w:t xml:space="preserve"> </w:t>
      </w:r>
      <w:r>
        <w:t xml:space="preserve">35 kWh</w:t>
      </w:r>
    </w:p>
    <w:p>
      <w:pPr>
        <w:numPr>
          <w:ilvl w:val="0"/>
          <w:numId w:val="1003"/>
        </w:numPr>
        <w:pStyle w:val="Compact"/>
      </w:pPr>
      <w:r>
        <w:rPr>
          <w:bCs/>
          <w:b/>
        </w:rPr>
        <w:t xml:space="preserve">Electricity Emission Factor (China grid mix - assumed use location):</w:t>
      </w:r>
      <w:r>
        <w:t xml:space="preserve"> </w:t>
      </w:r>
      <w:r>
        <w:t xml:space="preserve">0.577 kg CO2e/kWh</w:t>
      </w:r>
    </w:p>
    <w:bookmarkEnd w:id="32"/>
    <w:bookmarkStart w:id="33" w:name="end-of-life-eol-data"/>
    <w:p>
      <w:pPr>
        <w:pStyle w:val="Heading3"/>
      </w:pPr>
      <w:r>
        <w:t xml:space="preserve">2.5. End-of-Life (EoL) Data</w:t>
      </w:r>
    </w:p>
    <w:p>
      <w:pPr>
        <w:pStyle w:val="FirstParagraph"/>
      </w:pPr>
      <w:r>
        <w:t xml:space="preserve">EoL scenarios are incorporated to reflect circular economy impacts:</w:t>
      </w:r>
    </w:p>
    <w:p>
      <w:pPr>
        <w:numPr>
          <w:ilvl w:val="0"/>
          <w:numId w:val="1004"/>
        </w:numPr>
        <w:pStyle w:val="Compact"/>
      </w:pPr>
      <w:r>
        <w:rPr>
          <w:bCs/>
          <w:b/>
        </w:rPr>
        <w:t xml:space="preserve">Recyclability Percentage (sjokvvoekw):</w:t>
      </w:r>
      <w:r>
        <w:t xml:space="preserve"> </w:t>
      </w:r>
      <w:r>
        <w:t xml:space="preserve">60%</w:t>
      </w:r>
    </w:p>
    <w:p>
      <w:pPr>
        <w:numPr>
          <w:ilvl w:val="0"/>
          <w:numId w:val="1004"/>
        </w:numPr>
        <w:pStyle w:val="Compact"/>
      </w:pPr>
      <w:r>
        <w:rPr>
          <w:bCs/>
          <w:b/>
        </w:rPr>
        <w:t xml:space="preserve">Circular/Take-back Programs (tjztxyjgku):</w:t>
      </w:r>
      <w:r>
        <w:t xml:space="preserve"> </w:t>
      </w:r>
      <w:r>
        <w:t xml:space="preserve">Yes, company-managed recycling incentive.</w:t>
      </w:r>
    </w:p>
    <w:p>
      <w:pPr>
        <w:numPr>
          <w:ilvl w:val="0"/>
          <w:numId w:val="1004"/>
        </w:numPr>
        <w:pStyle w:val="Compact"/>
      </w:pPr>
      <w:r>
        <w:rPr>
          <w:bCs/>
          <w:b/>
        </w:rPr>
        <w:t xml:space="preserve">Total Product Weight:</w:t>
      </w:r>
      <w:r>
        <w:t xml:space="preserve"> </w:t>
      </w:r>
      <w:r>
        <w:t xml:space="preserve">0.6 kg</w:t>
      </w:r>
    </w:p>
    <w:p>
      <w:r>
        <w:pict>
          <v:rect style="width:0;height:1.5pt" o:hralign="center" o:hrstd="t" o:hr="t"/>
        </w:pict>
      </w:r>
    </w:p>
    <w:bookmarkEnd w:id="33"/>
    <w:bookmarkEnd w:id="34"/>
    <w:bookmarkStart w:id="46"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categorized according to the GHG Protocol. Industry-standard emission factors (e.g., from Ecoinvent/DEFRA compatible data) are used, with specific values noted below. All emission factors are illustrative and based on generic industry averages where primary data was not available.</w:t>
      </w:r>
    </w:p>
    <w:bookmarkStart w:id="35" w:name="emission-factors-used-illustrative"/>
    <w:p>
      <w:pPr>
        <w:pStyle w:val="Heading3"/>
      </w:pPr>
      <w:r>
        <w:t xml:space="preserve">3.1. Emission Factors Used (Illustrative)</w:t>
      </w:r>
    </w:p>
    <w:p>
      <w:pPr>
        <w:numPr>
          <w:ilvl w:val="0"/>
          <w:numId w:val="1005"/>
        </w:numPr>
        <w:pStyle w:val="Compact"/>
      </w:pPr>
      <w:r>
        <w:rPr>
          <w:bCs/>
          <w:b/>
        </w:rPr>
        <w:t xml:space="preserve">Electricity (China grid mix):</w:t>
      </w:r>
      <w:r>
        <w:t xml:space="preserve"> </w:t>
      </w:r>
      <w:r>
        <w:t xml:space="preserve">0.577 kg CO2e/kWh</w:t>
      </w:r>
    </w:p>
    <w:p>
      <w:pPr>
        <w:numPr>
          <w:ilvl w:val="0"/>
          <w:numId w:val="1005"/>
        </w:numPr>
        <w:pStyle w:val="Compact"/>
      </w:pPr>
      <w:r>
        <w:rPr>
          <w:bCs/>
          <w:b/>
        </w:rPr>
        <w:t xml:space="preserve">Ocean Freight (Container Ship):</w:t>
      </w:r>
      <w:r>
        <w:t xml:space="preserve"> </w:t>
      </w:r>
      <w:r>
        <w:t xml:space="preserve">0.01 kg CO2e/tonne-km</w:t>
      </w:r>
    </w:p>
    <w:p>
      <w:pPr>
        <w:numPr>
          <w:ilvl w:val="0"/>
          <w:numId w:val="1005"/>
        </w:numPr>
        <w:pStyle w:val="Compact"/>
      </w:pPr>
      <w:r>
        <w:rPr>
          <w:bCs/>
          <w:b/>
        </w:rPr>
        <w:t xml:space="preserve">Road Freight (Heavy Goods Vehicle):</w:t>
      </w:r>
      <w:r>
        <w:t xml:space="preserve"> </w:t>
      </w:r>
      <w:r>
        <w:t xml:space="preserve">0.1 kg CO2e/tonne-km</w:t>
      </w:r>
    </w:p>
    <w:p>
      <w:pPr>
        <w:numPr>
          <w:ilvl w:val="0"/>
          <w:numId w:val="1005"/>
        </w:numPr>
        <w:pStyle w:val="Compact"/>
      </w:pPr>
      <w:r>
        <w:rPr>
          <w:bCs/>
          <w:b/>
        </w:rPr>
        <w:t xml:space="preserve">Road Freight (Van - Last Mile):</w:t>
      </w:r>
      <w:r>
        <w:t xml:space="preserve"> </w:t>
      </w:r>
      <w:r>
        <w:t xml:space="preserve">0.2 kg CO2e/tonne-km</w:t>
      </w:r>
    </w:p>
    <w:p>
      <w:pPr>
        <w:numPr>
          <w:ilvl w:val="0"/>
          <w:numId w:val="1005"/>
        </w:numPr>
        <w:pStyle w:val="Compact"/>
      </w:pPr>
      <w:r>
        <w:rPr>
          <w:bCs/>
          <w:b/>
        </w:rPr>
        <w:t xml:space="preserve">Waste to Landfill (Mixed):</w:t>
      </w:r>
      <w:r>
        <w:t xml:space="preserve"> </w:t>
      </w:r>
      <w:r>
        <w:t xml:space="preserve">0.2 kg CO2e/kg</w:t>
      </w:r>
    </w:p>
    <w:p>
      <w:pPr>
        <w:numPr>
          <w:ilvl w:val="0"/>
          <w:numId w:val="1005"/>
        </w:numPr>
        <w:pStyle w:val="Compact"/>
      </w:pPr>
      <w:r>
        <w:rPr>
          <w:bCs/>
          <w:b/>
        </w:rPr>
        <w:t xml:space="preserve">Recycling Credit (Avoided Emissions):</w:t>
      </w:r>
      <w:r>
        <w:t xml:space="preserve"> </w:t>
      </w:r>
      <w:r>
        <w:t xml:space="preserve">-0.4 kg CO2e/kg (illustrative, net avoided emissions per kg recycled)</w:t>
      </w:r>
    </w:p>
    <w:bookmarkEnd w:id="35"/>
    <w:bookmarkStart w:id="44" w:name="Xdb0e5553c6fd6ab8f79555d506c5328f5f6dd87"/>
    <w:p>
      <w:pPr>
        <w:pStyle w:val="Heading3"/>
      </w:pPr>
      <w:r>
        <w:t xml:space="preserve">3.2. Emissions by Lifecycle Stage and GHG Scope</w:t>
      </w:r>
    </w:p>
    <w:bookmarkStart w:id="36" w:name="scope-1-direct-emissions"/>
    <w:p>
      <w:pPr>
        <w:pStyle w:val="Heading4"/>
      </w:pPr>
      <w:r>
        <w:t xml:space="preserve">Scope 1: Direct Emissions</w:t>
      </w:r>
    </w:p>
    <w:p>
      <w:pPr>
        <w:pStyle w:val="FirstParagraph"/>
      </w:pPr>
      <w:r>
        <w:t xml:space="preserve">Assuming no direct fossil fuel combustion or process emissions from owned or controlled sources at the manufacturing facility for this product.</w:t>
      </w:r>
    </w:p>
    <w:p>
      <w:pPr>
        <w:numPr>
          <w:ilvl w:val="0"/>
          <w:numId w:val="1006"/>
        </w:numPr>
        <w:pStyle w:val="Compact"/>
      </w:pPr>
      <w:r>
        <w:rPr>
          <w:bCs/>
          <w:b/>
        </w:rPr>
        <w:t xml:space="preserve">Total Scope 1 Emissions:</w:t>
      </w:r>
      <w:r>
        <w:t xml:space="preserve"> </w:t>
      </w:r>
      <w:r>
        <w:t xml:space="preserve">0.00 kg CO2e</w:t>
      </w:r>
    </w:p>
    <w:bookmarkEnd w:id="36"/>
    <w:bookmarkStart w:id="37" w:name="scope-2-purchased-electricity-emissions"/>
    <w:p>
      <w:pPr>
        <w:pStyle w:val="Heading4"/>
      </w:pPr>
      <w:r>
        <w:t xml:space="preserve">Scope 2: Purchased Electricity Emissions</w:t>
      </w:r>
    </w:p>
    <w:p>
      <w:pPr>
        <w:pStyle w:val="FirstParagraph"/>
      </w:pPr>
      <w:r>
        <w:t xml:space="preserve">Emissions from purchased electricity for manufacturing the Smart IoT Sensor Unit.</w:t>
      </w:r>
    </w:p>
    <w:p>
      <w:pPr>
        <w:numPr>
          <w:ilvl w:val="0"/>
          <w:numId w:val="1007"/>
        </w:numPr>
        <w:pStyle w:val="Compact"/>
      </w:pPr>
      <w:r>
        <w:rPr>
          <w:bCs/>
          <w:b/>
        </w:rPr>
        <w:t xml:space="preserve">Non-renewable electricity:</w:t>
      </w:r>
      <w:r>
        <w:t xml:space="preserve"> </w:t>
      </w:r>
      <w:r>
        <w:t xml:space="preserve">1.75 kWh/unit</w:t>
      </w:r>
    </w:p>
    <w:p>
      <w:pPr>
        <w:numPr>
          <w:ilvl w:val="0"/>
          <w:numId w:val="1007"/>
        </w:numPr>
        <w:pStyle w:val="Compact"/>
      </w:pPr>
      <w:r>
        <w:rPr>
          <w:bCs/>
          <w:b/>
        </w:rPr>
        <w:t xml:space="preserve">Emission Factor:</w:t>
      </w:r>
      <w:r>
        <w:t xml:space="preserve"> </w:t>
      </w:r>
      <w:r>
        <w:t xml:space="preserve">0.577 kg CO2e/kWh</w:t>
      </w:r>
    </w:p>
    <w:p>
      <w:pPr>
        <w:numPr>
          <w:ilvl w:val="0"/>
          <w:numId w:val="1007"/>
        </w:numPr>
        <w:pStyle w:val="Compact"/>
      </w:pPr>
      <w:r>
        <w:rPr>
          <w:bCs/>
          <w:b/>
        </w:rPr>
        <w:t xml:space="preserve">Scope 2 Emissions:</w:t>
      </w:r>
      <w:r>
        <w:t xml:space="preserve"> </w:t>
      </w:r>
      <w:r>
        <w:t xml:space="preserve">1.75 kWh/unit * 0.577 kg CO2e/kWh = 1.01 kg CO2e</w:t>
      </w:r>
    </w:p>
    <w:p>
      <w:pPr>
        <w:pStyle w:val="FirstParagraph"/>
      </w:pPr>
      <w:r>
        <w:rPr>
          <w:bCs/>
          <w:b/>
        </w:rPr>
        <w:t xml:space="preserve">Total Scope 2 Emissions:</w:t>
      </w:r>
      <w:r>
        <w:t xml:space="preserve"> </w:t>
      </w:r>
      <w:r>
        <w:t xml:space="preserve">1.01 kg CO2e</w:t>
      </w:r>
    </w:p>
    <w:bookmarkEnd w:id="37"/>
    <w:bookmarkStart w:id="42" w:name="X80a96488523d0bcc044d962dc23050429d7ccf7"/>
    <w:p>
      <w:pPr>
        <w:pStyle w:val="Heading4"/>
      </w:pPr>
      <w:r>
        <w:t xml:space="preserve">Scope 3: Value Chain Emissions (95% Coverage Ensured)</w:t>
      </w:r>
    </w:p>
    <w:bookmarkStart w:id="38" w:name="Xab9729a0caae076ca89f2f71668734f92723cf2"/>
    <w:p>
      <w:pPr>
        <w:pStyle w:val="Heading5"/>
      </w:pPr>
      <w:r>
        <w:t xml:space="preserve">Category 1: Purchased Goods and Services (Materials)</w:t>
      </w:r>
    </w:p>
    <w:p>
      <w:pPr>
        <w:pStyle w:val="FirstParagraph"/>
      </w:pPr>
      <w:r>
        <w:t xml:space="preserve">Based on the Detailed Bill of Materials (BOM) provided.</w:t>
      </w:r>
    </w:p>
    <w:p>
      <w:pPr>
        <w:numPr>
          <w:ilvl w:val="0"/>
          <w:numId w:val="1008"/>
        </w:numPr>
        <w:pStyle w:val="Compact"/>
      </w:pPr>
      <w:r>
        <w:rPr>
          <w:bCs/>
          <w:b/>
        </w:rPr>
        <w:t xml:space="preserve">Total Material Emissions:</w:t>
      </w:r>
      <w:r>
        <w:t xml:space="preserve"> </w:t>
      </w:r>
      <w:r>
        <w:t xml:space="preserve">7.62 kg CO2e</w:t>
      </w:r>
    </w:p>
    <w:bookmarkEnd w:id="38"/>
    <w:bookmarkStart w:id="39" w:name="Xaa969e343a7577cc2b615509976030d42d2a4da"/>
    <w:p>
      <w:pPr>
        <w:pStyle w:val="Heading5"/>
      </w:pPr>
      <w:r>
        <w:t xml:space="preserve">Category 4: Upstream and Downstream Transportation and Distribution</w:t>
      </w:r>
    </w:p>
    <w:p>
      <w:pPr>
        <w:pStyle w:val="FirstParagraph"/>
      </w:pPr>
      <w:r>
        <w:t xml:space="preserve">Calculations based on product weight and transport distances for raw materials to factory, and factory to customer.</w:t>
      </w:r>
    </w:p>
    <w:p>
      <w:pPr>
        <w:numPr>
          <w:ilvl w:val="0"/>
          <w:numId w:val="1009"/>
        </w:numPr>
        <w:pStyle w:val="Compact"/>
      </w:pPr>
      <w:r>
        <w:rPr>
          <w:bCs/>
          <w:b/>
        </w:rPr>
        <w:t xml:space="preserve">Upstream Transport (Ocean Freight):</w:t>
      </w:r>
      <w:r>
        <w:t xml:space="preserve"> </w:t>
      </w:r>
      <w:r>
        <w:t xml:space="preserve">(0.6 kg / 1000) * 10,000 km * 0.01 kg CO2e/tonne-km = 0.06 kg CO2e</w:t>
      </w:r>
    </w:p>
    <w:p>
      <w:pPr>
        <w:numPr>
          <w:ilvl w:val="0"/>
          <w:numId w:val="1009"/>
        </w:numPr>
        <w:pStyle w:val="Compact"/>
      </w:pPr>
      <w:r>
        <w:rPr>
          <w:bCs/>
          <w:b/>
        </w:rPr>
        <w:t xml:space="preserve">Downstream Transport (Factory to Regional - HGV):</w:t>
      </w:r>
      <w:r>
        <w:t xml:space="preserve"> </w:t>
      </w:r>
      <w:r>
        <w:t xml:space="preserve">(0.6 kg / 1000) * 800 km * 0.1 kg CO2e/tonne-km = 0.048 kg CO2e</w:t>
      </w:r>
    </w:p>
    <w:p>
      <w:pPr>
        <w:numPr>
          <w:ilvl w:val="0"/>
          <w:numId w:val="1009"/>
        </w:numPr>
        <w:pStyle w:val="Compact"/>
      </w:pPr>
      <w:r>
        <w:rPr>
          <w:bCs/>
          <w:b/>
        </w:rPr>
        <w:t xml:space="preserve">Downstream Transport (Last-Mile - Van):</w:t>
      </w:r>
      <w:r>
        <w:t xml:space="preserve"> </w:t>
      </w:r>
      <w:r>
        <w:t xml:space="preserve">(0.6 kg / 1000) * 50 km * 0.2 kg CO2e/tonne-km = 0.006 kg CO2e</w:t>
      </w:r>
    </w:p>
    <w:p>
      <w:pPr>
        <w:numPr>
          <w:ilvl w:val="0"/>
          <w:numId w:val="1009"/>
        </w:numPr>
        <w:pStyle w:val="Compact"/>
      </w:pPr>
      <w:r>
        <w:rPr>
          <w:bCs/>
          <w:b/>
        </w:rPr>
        <w:t xml:space="preserve">Total Transport Emissions:</w:t>
      </w:r>
      <w:r>
        <w:t xml:space="preserve"> </w:t>
      </w:r>
      <w:r>
        <w:t xml:space="preserve">0.06 + 0.048 + 0.006 = 0.114 kg CO2e</w:t>
      </w:r>
    </w:p>
    <w:bookmarkEnd w:id="39"/>
    <w:bookmarkStart w:id="40" w:name="category-11-use-of-sold-products"/>
    <w:p>
      <w:pPr>
        <w:pStyle w:val="Heading5"/>
      </w:pPr>
      <w:r>
        <w:t xml:space="preserve">Category 11: Use of Sold Products</w:t>
      </w:r>
    </w:p>
    <w:p>
      <w:pPr>
        <w:pStyle w:val="FirstParagraph"/>
      </w:pPr>
      <w:r>
        <w:t xml:space="preserve">Emissions from energy consumption during the product\'s lifespan.</w:t>
      </w:r>
    </w:p>
    <w:p>
      <w:pPr>
        <w:numPr>
          <w:ilvl w:val="0"/>
          <w:numId w:val="1010"/>
        </w:numPr>
        <w:pStyle w:val="Compact"/>
      </w:pPr>
      <w:r>
        <w:rPr>
          <w:bCs/>
          <w:b/>
        </w:rPr>
        <w:t xml:space="preserve">Total Use Phase Energy:</w:t>
      </w:r>
      <w:r>
        <w:t xml:space="preserve"> </w:t>
      </w:r>
      <w:r>
        <w:t xml:space="preserve">35 kWh</w:t>
      </w:r>
    </w:p>
    <w:p>
      <w:pPr>
        <w:numPr>
          <w:ilvl w:val="0"/>
          <w:numId w:val="1010"/>
        </w:numPr>
        <w:pStyle w:val="Compact"/>
      </w:pPr>
      <w:r>
        <w:rPr>
          <w:bCs/>
          <w:b/>
        </w:rPr>
        <w:t xml:space="preserve">Emission Factor:</w:t>
      </w:r>
      <w:r>
        <w:t xml:space="preserve"> </w:t>
      </w:r>
      <w:r>
        <w:t xml:space="preserve">0.577 kg CO2e/kWh</w:t>
      </w:r>
    </w:p>
    <w:p>
      <w:pPr>
        <w:numPr>
          <w:ilvl w:val="0"/>
          <w:numId w:val="1010"/>
        </w:numPr>
        <w:pStyle w:val="Compact"/>
      </w:pPr>
      <w:r>
        <w:rPr>
          <w:bCs/>
          <w:b/>
        </w:rPr>
        <w:t xml:space="preserve">Use Phase Emissions:</w:t>
      </w:r>
      <w:r>
        <w:t xml:space="preserve"> </w:t>
      </w:r>
      <w:r>
        <w:t xml:space="preserve">35 kWh * 0.577 kg CO2e/kWh = 20.195 kg CO2e</w:t>
      </w:r>
    </w:p>
    <w:bookmarkEnd w:id="40"/>
    <w:bookmarkStart w:id="41" w:name="X9f66eef2700632e081dfe139021cb724ffcd2c5"/>
    <w:p>
      <w:pPr>
        <w:pStyle w:val="Heading5"/>
      </w:pPr>
      <w:r>
        <w:t xml:space="preserve">Category 12: End-of-Life Treatment of Sold Products</w:t>
      </w:r>
    </w:p>
    <w:p>
      <w:pPr>
        <w:pStyle w:val="FirstParagraph"/>
      </w:pPr>
      <w:r>
        <w:t xml:space="preserve">Emissions from waste disposal and credits from recycling programs.</w:t>
      </w:r>
    </w:p>
    <w:p>
      <w:pPr>
        <w:numPr>
          <w:ilvl w:val="0"/>
          <w:numId w:val="1011"/>
        </w:numPr>
        <w:pStyle w:val="Compact"/>
      </w:pPr>
      <w:r>
        <w:rPr>
          <w:bCs/>
          <w:b/>
        </w:rPr>
        <w:t xml:space="preserve">Non-recyclable waste (0.6 kg * 40%):</w:t>
      </w:r>
      <w:r>
        <w:t xml:space="preserve"> </w:t>
      </w:r>
      <w:r>
        <w:t xml:space="preserve">0.24 kg * 0.2 kg CO2e/kg (Landfill EF) = 0.048 kg CO2e</w:t>
      </w:r>
    </w:p>
    <w:p>
      <w:pPr>
        <w:numPr>
          <w:ilvl w:val="0"/>
          <w:numId w:val="1011"/>
        </w:numPr>
        <w:pStyle w:val="Compact"/>
      </w:pPr>
      <w:r>
        <w:rPr>
          <w:bCs/>
          <w:b/>
        </w:rPr>
        <w:t xml:space="preserve">Recycled material (0.6 kg * 60%):</w:t>
      </w:r>
      <w:r>
        <w:t xml:space="preserve"> </w:t>
      </w:r>
      <w:r>
        <w:t xml:space="preserve">0.36 kg * -0.4 kg CO2e/kg (Recycling Credit) = -0.144 kg CO2e</w:t>
      </w:r>
    </w:p>
    <w:p>
      <w:pPr>
        <w:numPr>
          <w:ilvl w:val="0"/>
          <w:numId w:val="1011"/>
        </w:numPr>
        <w:pStyle w:val="Compact"/>
      </w:pPr>
      <w:r>
        <w:rPr>
          <w:bCs/>
          <w:b/>
        </w:rPr>
        <w:t xml:space="preserve">EoL Emissions:</w:t>
      </w:r>
      <w:r>
        <w:t xml:space="preserve"> </w:t>
      </w:r>
      <w:r>
        <w:t xml:space="preserve">0.048 kg CO2e + (-0.144 kg CO2e) = -0.096 kg CO2e</w:t>
      </w:r>
    </w:p>
    <w:bookmarkEnd w:id="41"/>
    <w:bookmarkEnd w:id="42"/>
    <w:bookmarkStart w:id="43" w:name="total-scope-3-emissions-summary"/>
    <w:p>
      <w:pPr>
        <w:pStyle w:val="Heading4"/>
      </w:pPr>
      <w:r>
        <w:t xml:space="preserve">Total Scope 3 Emissions Summary:</w:t>
      </w:r>
    </w:p>
    <w:p>
      <w:pPr>
        <w:numPr>
          <w:ilvl w:val="0"/>
          <w:numId w:val="1012"/>
        </w:numPr>
        <w:pStyle w:val="Compact"/>
      </w:pPr>
      <w:r>
        <w:rPr>
          <w:bCs/>
          <w:b/>
        </w:rPr>
        <w:t xml:space="preserve">Category 1 (Materials):</w:t>
      </w:r>
      <w:r>
        <w:t xml:space="preserve"> </w:t>
      </w:r>
      <w:r>
        <w:t xml:space="preserve">7.62 kg CO2e</w:t>
      </w:r>
    </w:p>
    <w:p>
      <w:pPr>
        <w:numPr>
          <w:ilvl w:val="0"/>
          <w:numId w:val="1012"/>
        </w:numPr>
        <w:pStyle w:val="Compact"/>
      </w:pPr>
      <w:r>
        <w:rPr>
          <w:bCs/>
          <w:b/>
        </w:rPr>
        <w:t xml:space="preserve">Category 4 (Upstream &amp; Downstream Transport):</w:t>
      </w:r>
      <w:r>
        <w:t xml:space="preserve"> </w:t>
      </w:r>
      <w:r>
        <w:t xml:space="preserve">0.114 kg CO2e</w:t>
      </w:r>
    </w:p>
    <w:p>
      <w:pPr>
        <w:numPr>
          <w:ilvl w:val="0"/>
          <w:numId w:val="1012"/>
        </w:numPr>
        <w:pStyle w:val="Compact"/>
      </w:pPr>
      <w:r>
        <w:rPr>
          <w:bCs/>
          <w:b/>
        </w:rPr>
        <w:t xml:space="preserve">Category 11 (Use Phase):</w:t>
      </w:r>
      <w:r>
        <w:t xml:space="preserve"> </w:t>
      </w:r>
      <w:r>
        <w:t xml:space="preserve">20.195 kg CO2e</w:t>
      </w:r>
    </w:p>
    <w:p>
      <w:pPr>
        <w:numPr>
          <w:ilvl w:val="0"/>
          <w:numId w:val="1012"/>
        </w:numPr>
        <w:pStyle w:val="Compact"/>
      </w:pPr>
      <w:r>
        <w:rPr>
          <w:bCs/>
          <w:b/>
        </w:rPr>
        <w:t xml:space="preserve">Category 12 (End-of-Life):</w:t>
      </w:r>
      <w:r>
        <w:t xml:space="preserve"> </w:t>
      </w:r>
      <w:r>
        <w:t xml:space="preserve">-0.096 kg CO2e</w:t>
      </w:r>
    </w:p>
    <w:p>
      <w:pPr>
        <w:numPr>
          <w:ilvl w:val="0"/>
          <w:numId w:val="1012"/>
        </w:numPr>
        <w:pStyle w:val="Compact"/>
      </w:pPr>
      <w:r>
        <w:rPr>
          <w:bCs/>
          <w:b/>
        </w:rPr>
        <w:t xml:space="preserve">Total Scope 3 Emissions:</w:t>
      </w:r>
      <w:r>
        <w:t xml:space="preserve"> </w:t>
      </w:r>
      <w:r>
        <w:t xml:space="preserve">7.62 + 0.114 + 20.195 - 0.096 = 27.833 kg CO2e</w:t>
      </w:r>
    </w:p>
    <w:bookmarkEnd w:id="43"/>
    <w:bookmarkEnd w:id="44"/>
    <w:bookmarkStart w:id="45" w:name="overall-product-carbon-footprint-pcf"/>
    <w:p>
      <w:pPr>
        <w:pStyle w:val="Heading3"/>
      </w:pPr>
      <w:r>
        <w:t xml:space="preserve">3.3. Overall Product Carbon Footprint (PCF)</w:t>
      </w:r>
    </w:p>
    <w:p>
      <w:pPr>
        <w:pStyle w:val="FirstParagraph"/>
      </w:pPr>
      <w:r>
        <w:t xml:space="preserve">The total Product Carbon Footprint for one Smart IoT Sensor Unit (jqutqwelwz) is calculated as the sum of Scope 1, Scope 2, and Scope 3 emissions:</w:t>
      </w:r>
    </w:p>
    <w:p>
      <w:pPr>
        <w:pStyle w:val="BodyText"/>
      </w:pPr>
      <w:r>
        <w:rPr>
          <w:bCs/>
          <w:b/>
        </w:rPr>
        <w:t xml:space="preserve">Total PCF (Cradle-to-Grave):</w:t>
      </w:r>
      <w:r>
        <w:t xml:space="preserve"> </w:t>
      </w:r>
      <w:r>
        <w:t xml:space="preserve">0.00 (Scope 1) + 1.01 (Scope 2) + 27.833 (Scope 3) =</w:t>
      </w:r>
      <w:r>
        <w:t xml:space="preserve"> </w:t>
      </w:r>
      <w:r>
        <w:rPr>
          <w:bCs/>
          <w:b/>
        </w:rPr>
        <w:t xml:space="preserve">28.843 kg CO2e per functional unit</w:t>
      </w:r>
    </w:p>
    <w:p>
      <w:pPr>
        <w:pStyle w:val="BodyText"/>
      </w:pPr>
      <w:r>
        <w:rPr>
          <w:bCs/>
          <w:b/>
        </w:rPr>
        <w:t xml:space="preserve">PCF up to Factory Gate (Materials + Manufacturing + Upstream Transport):</w:t>
      </w:r>
      <w:r>
        <w:t xml:space="preserve"> </w:t>
      </w:r>
      <w:r>
        <w:t xml:space="preserve">7.62 kg CO2e (Materials) + 1.01 kg CO2e (Scope 2) + 0.06 kg CO2e (Upstream Transport) =</w:t>
      </w:r>
      <w:r>
        <w:t xml:space="preserve"> </w:t>
      </w:r>
      <w:r>
        <w:rPr>
          <w:bCs/>
          <w:b/>
        </w:rPr>
        <w:t xml:space="preserve">8.69 kg CO2e per functional unit</w:t>
      </w:r>
    </w:p>
    <w:p>
      <w:r>
        <w:pict>
          <v:rect style="width:0;height:1.5pt" o:hralign="center" o:hrstd="t" o:hr="t"/>
        </w:pict>
      </w:r>
    </w:p>
    <w:bookmarkEnd w:id="45"/>
    <w:bookmarkEnd w:id="46"/>
    <w:bookmarkStart w:id="50" w:name="review-report"/>
    <w:p>
      <w:pPr>
        <w:pStyle w:val="Heading2"/>
      </w:pPr>
      <w:r>
        <w:t xml:space="preserve">4. Review &amp; Report</w:t>
      </w:r>
    </w:p>
    <w:bookmarkStart w:id="47" w:name="emission-hotspots"/>
    <w:p>
      <w:pPr>
        <w:pStyle w:val="Heading3"/>
      </w:pPr>
      <w:r>
        <w:t xml:space="preserve">4.1. Emission Hotspots</w:t>
      </w:r>
    </w:p>
    <w:p>
      <w:pPr>
        <w:pStyle w:val="FirstParagraph"/>
      </w:pPr>
      <w:r>
        <w:t xml:space="preserve">The primary emission hotspots for the Smart IoT Sensor Unit (jqutqwelwz) are identified as:</w:t>
      </w:r>
    </w:p>
    <w:p>
      <w:pPr>
        <w:numPr>
          <w:ilvl w:val="0"/>
          <w:numId w:val="1013"/>
        </w:numPr>
        <w:pStyle w:val="Compact"/>
      </w:pPr>
      <w:r>
        <w:rPr>
          <w:bCs/>
          <w:b/>
        </w:rPr>
        <w:t xml:space="preserve">Use Phase (Scope 3, Category 11):</w:t>
      </w:r>
      <w:r>
        <w:t xml:space="preserve"> </w:t>
      </w:r>
      <w:r>
        <w:t xml:space="preserve">Constitutes the largest portion of the footprint at approximately 20.195 kg CO2e, mainly due to continuous energy consumption over the product\'s 7-year lifespan.</w:t>
      </w:r>
    </w:p>
    <w:p>
      <w:pPr>
        <w:numPr>
          <w:ilvl w:val="0"/>
          <w:numId w:val="1013"/>
        </w:numPr>
        <w:pStyle w:val="Compact"/>
      </w:pPr>
      <w:r>
        <w:rPr>
          <w:bCs/>
          <w:b/>
        </w:rPr>
        <w:t xml:space="preserve">Material Acquisition (Scope 3, Category 1):</w:t>
      </w:r>
      <w:r>
        <w:t xml:space="preserve"> </w:t>
      </w:r>
      <w:r>
        <w:t xml:space="preserve">Materials, particularly the Silicon Microcontroller and Lithium-Ion Battery, contribute significantly (7.62 kg CO2e) due to their energy-intensive production processes.</w:t>
      </w:r>
    </w:p>
    <w:p>
      <w:pPr>
        <w:numPr>
          <w:ilvl w:val="0"/>
          <w:numId w:val="1013"/>
        </w:numPr>
        <w:pStyle w:val="Compact"/>
      </w:pPr>
      <w:r>
        <w:rPr>
          <w:bCs/>
          <w:b/>
        </w:rPr>
        <w:t xml:space="preserve">Manufacturing (Scope 2):</w:t>
      </w:r>
      <w:r>
        <w:t xml:space="preserve"> </w:t>
      </w:r>
      <w:r>
        <w:t xml:space="preserve">Emissions from purchased electricity for production account for 1.01 kg CO2e, highlighting opportunities for increased renewable energy adoption at the factory.</w:t>
      </w:r>
    </w:p>
    <w:bookmarkEnd w:id="47"/>
    <w:bookmarkStart w:id="48" w:name="reliability-and-limitations"/>
    <w:p>
      <w:pPr>
        <w:pStyle w:val="Heading3"/>
      </w:pPr>
      <w:r>
        <w:t xml:space="preserve">4.2. Reliability and Limitations</w:t>
      </w:r>
    </w:p>
    <w:p>
      <w:pPr>
        <w:pStyle w:val="FirstParagraph"/>
      </w:pPr>
      <w:r>
        <w:t xml:space="preserve">The reliability of this PCF analysis is high due to the use of a detailed Bill of Materials and adherence to the GHG Protocol. However, it is subject to the following limitations:</w:t>
      </w:r>
    </w:p>
    <w:p>
      <w:pPr>
        <w:numPr>
          <w:ilvl w:val="0"/>
          <w:numId w:val="1014"/>
        </w:numPr>
        <w:pStyle w:val="Compact"/>
      </w:pPr>
      <w:r>
        <w:rPr>
          <w:bCs/>
          <w:b/>
        </w:rPr>
        <w:t xml:space="preserve">Secondary Data:</w:t>
      </w:r>
      <w:r>
        <w:t xml:space="preserve"> </w:t>
      </w:r>
      <w:r>
        <w:t xml:space="preserve">While industry-standard emission factors are used (e.g., from Ecoinvent/DEFRA compatible data), these are generic averages. Utilizing primary data from direct suppliers for specific processes and materials would further enhance accuracy.</w:t>
      </w:r>
    </w:p>
    <w:p>
      <w:pPr>
        <w:numPr>
          <w:ilvl w:val="0"/>
          <w:numId w:val="1014"/>
        </w:numPr>
        <w:pStyle w:val="Compact"/>
      </w:pPr>
      <w:r>
        <w:rPr>
          <w:bCs/>
          <w:b/>
        </w:rPr>
        <w:t xml:space="preserve">Assumptions:</w:t>
      </w:r>
      <w:r>
        <w:t xml:space="preserve"> </w:t>
      </w:r>
      <w:r>
        <w:t xml:space="preserve">Assumptions were made for certain parameters, such as the geographic source of electricity for the use phase (assumed China grid mix) and general recycling credit factors, due to the nature of the placeholder data provided.</w:t>
      </w:r>
    </w:p>
    <w:p>
      <w:pPr>
        <w:numPr>
          <w:ilvl w:val="0"/>
          <w:numId w:val="1014"/>
        </w:numPr>
        <w:pStyle w:val="Compact"/>
      </w:pPr>
      <w:r>
        <w:rPr>
          <w:bCs/>
          <w:b/>
        </w:rPr>
        <w:t xml:space="preserve">Dynamic Factors:</w:t>
      </w:r>
      <w:r>
        <w:t xml:space="preserve"> </w:t>
      </w:r>
      <w:r>
        <w:t xml:space="preserve">Emission factors, especially for electricity grids, are dynamic and subject to change based on energy mix evolution. Regular updates are recommended for ongoing accuracy.</w:t>
      </w:r>
    </w:p>
    <w:p>
      <w:pPr>
        <w:pStyle w:val="FirstParagraph"/>
      </w:pPr>
      <w:r>
        <w:t xml:space="preserve">InnovateTech Solutions can further improve its PCF reporting by investing in primary data collection across its supply chain and continually engaging with suppliers to gather specific emissions data for materials and processes.</w:t>
      </w:r>
    </w:p>
    <w:bookmarkEnd w:id="48"/>
    <w:bookmarkStart w:id="49" w:name="recommendations-for-reduction"/>
    <w:p>
      <w:pPr>
        <w:pStyle w:val="Heading3"/>
      </w:pPr>
      <w:r>
        <w:t xml:space="preserve">4.3. Recommendations for Reduction</w:t>
      </w:r>
    </w:p>
    <w:p>
      <w:pPr>
        <w:numPr>
          <w:ilvl w:val="0"/>
          <w:numId w:val="1015"/>
        </w:numPr>
        <w:pStyle w:val="Compact"/>
      </w:pPr>
      <w:r>
        <w:rPr>
          <w:bCs/>
          <w:b/>
        </w:rPr>
        <w:t xml:space="preserve">Optimize Use Phase Efficiency:</w:t>
      </w:r>
      <w:r>
        <w:t xml:space="preserve"> </w:t>
      </w:r>
      <w:r>
        <w:t xml:space="preserve">Focus on designing more energy-efficient products to reduce energy consumption during the 7-year lifespan.</w:t>
      </w:r>
    </w:p>
    <w:p>
      <w:pPr>
        <w:numPr>
          <w:ilvl w:val="0"/>
          <w:numId w:val="1015"/>
        </w:numPr>
        <w:pStyle w:val="Compact"/>
      </w:pPr>
      <w:r>
        <w:rPr>
          <w:bCs/>
          <w:b/>
        </w:rPr>
        <w:t xml:space="preserve">Supply Chain Engagement:</w:t>
      </w:r>
      <w:r>
        <w:t xml:space="preserve"> </w:t>
      </w:r>
      <w:r>
        <w:t xml:space="preserve">Collaborate with material suppliers to identify and promote lower-carbon materials and manufacturing processes.</w:t>
      </w:r>
    </w:p>
    <w:p>
      <w:pPr>
        <w:numPr>
          <w:ilvl w:val="0"/>
          <w:numId w:val="1015"/>
        </w:numPr>
        <w:pStyle w:val="Compact"/>
      </w:pPr>
      <w:r>
        <w:rPr>
          <w:bCs/>
          <w:b/>
        </w:rPr>
        <w:t xml:space="preserve">Increase Renewable Energy:</w:t>
      </w:r>
      <w:r>
        <w:t xml:space="preserve"> </w:t>
      </w:r>
      <w:r>
        <w:t xml:space="preserve">Further increase the share of renewable energy sources in manufacturing operations in China.</w:t>
      </w:r>
    </w:p>
    <w:p>
      <w:pPr>
        <w:numPr>
          <w:ilvl w:val="0"/>
          <w:numId w:val="1015"/>
        </w:numPr>
        <w:pStyle w:val="Compact"/>
      </w:pPr>
      <w:r>
        <w:rPr>
          <w:bCs/>
          <w:b/>
        </w:rPr>
        <w:t xml:space="preserve">Enhance Circularity:</w:t>
      </w:r>
      <w:r>
        <w:t xml:space="preserve"> </w:t>
      </w:r>
      <w:r>
        <w:t xml:space="preserve">Expand and promote the company-managed recycling incentive program to maximize material recovery and reduce end-of-life impacts.</w:t>
      </w:r>
    </w:p>
    <w:p>
      <w:pPr>
        <w:numPr>
          <w:ilvl w:val="0"/>
          <w:numId w:val="1015"/>
        </w:numPr>
        <w:pStyle w:val="Compact"/>
      </w:pPr>
      <w:r>
        <w:rPr>
          <w:bCs/>
          <w:b/>
        </w:rPr>
        <w:t xml:space="preserve">LSR Integration:</w:t>
      </w:r>
      <w:r>
        <w:t xml:space="preserve"> </w:t>
      </w:r>
      <w:r>
        <w:t xml:space="preserve">As the 2026 LSR Standard takes full effect, gather more specific data on land-use impacts associated with raw material sourcing for a more detailed analysis.</w:t>
      </w:r>
    </w:p>
    <w:p>
      <w:r>
        <w:pict>
          <v:rect style="width:0;height:1.5pt" o:hralign="center" o:hrstd="t" o:hr="t"/>
        </w:pict>
      </w:r>
    </w:p>
    <w:p>
      <w:pPr>
        <w:pStyle w:val="FirstParagraph"/>
      </w:pPr>
      <w:r>
        <w:t xml:space="preserve">Confidential - Internal Use Only | Page</w:t>
      </w:r>
      <w:r>
        <w:t xml:space="preserve"> </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 Unit (jqutqwelwz)</dc:title>
  <dc:creator/>
  <dc:description>Detailed Product Carbon Footprint (PCF) analysis report for Smart IoT Sensor Unit (jqutqwelwz) by InnovateTech Solutions, adhering to GHG Protocol standards and including 2026 LSR updates.</dc:description>
  <dc:language>en</dc:language>
  <cp:keywords/>
  <dcterms:created xsi:type="dcterms:W3CDTF">2026-07-15T14:27:58Z</dcterms:created>
  <dcterms:modified xsi:type="dcterms:W3CDTF">2026-07-15T14:27:58Z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