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Smart</w:t>
      </w:r>
      <w:r>
        <w:t xml:space="preserve"> </w:t>
      </w:r>
      <w:r>
        <w:t xml:space="preserve">IoT</w:t>
      </w:r>
      <w:r>
        <w:t xml:space="preserve"> </w:t>
      </w:r>
      <w:r>
        <w:t xml:space="preserve">Sensor</w:t>
      </w:r>
      <w:r>
        <w:t xml:space="preserve"> </w:t>
      </w:r>
      <w:r>
        <w:t xml:space="preserve">(mkzlhzxgik)</w:t>
      </w:r>
    </w:p>
    <w:p>
      <w:pPr>
        <w:pStyle w:val="FirstParagraph"/>
      </w:pPr>
      <w:r>
        <w:t xml:space="preserve">carboncalcpcf.com</w:t>
      </w:r>
    </w:p>
    <w:bookmarkStart w:id="21" w:name="product-carbon-footprint-report"/>
    <w:p>
      <w:pPr>
        <w:pStyle w:val="Heading1"/>
      </w:pPr>
      <w:r>
        <w:t xml:space="preserve">Product Carbon Footprint Report</w:t>
      </w:r>
    </w:p>
    <w:bookmarkStart w:id="20" w:name="for-product-mkzlhzxgik-smart-iot-sensor"/>
    <w:p>
      <w:pPr>
        <w:pStyle w:val="Heading2"/>
      </w:pPr>
      <w:r>
        <w:t xml:space="preserve">For Product: mkzlhzxgik (Smart IoT Sensor)</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pqtfxrgdis</w:t>
      </w:r>
    </w:p>
    <w:p>
      <w:pPr>
        <w:pStyle w:val="BodyText"/>
      </w:pPr>
      <w:r>
        <w:rPr>
          <w:bCs/>
          <w:b/>
        </w:rPr>
        <w:t xml:space="preserve">Senior Sustainability Consultant:</w:t>
      </w:r>
      <w:r>
        <w:t xml:space="preserve"> </w:t>
      </w:r>
      <w:r>
        <w:t xml:space="preserve">dtmtonkkly</w:t>
      </w:r>
    </w:p>
    <w:p>
      <w:pPr>
        <w:pStyle w:val="BodyText"/>
      </w:pPr>
      <w:r>
        <w:t xml:space="preserve">*Disclaimer: This report is generated based on available data and industry standards, utilizing hypothetical values for specific parameters where exact data was not provided. The analysis aims to demonstrate a comprehensive methodology compliant with GHG Protocol. Actual results may vary with precise primary data.*</w:t>
      </w:r>
    </w:p>
    <w:bookmarkEnd w:id="20"/>
    <w:bookmarkEnd w:id="21"/>
    <w:bookmarkStart w:id="48" w:name="Xb213b9061212d28397af193d90388955fb00e94"/>
    <w:p>
      <w:pPr>
        <w:pStyle w:val="Heading1"/>
      </w:pPr>
      <w:r>
        <w:t xml:space="preserve">Product Carbon Footprint Analysis: mkzlhzxgik</w:t>
      </w:r>
    </w:p>
    <w:p>
      <w:pPr>
        <w:pStyle w:val="FirstParagraph"/>
      </w:pPr>
      <w:r>
        <w:rPr>
          <w:bCs/>
          <w:b/>
        </w:rPr>
        <w:t xml:space="preserve">Generated Date:</w:t>
      </w:r>
      <w:r>
        <w:t xml:space="preserve"> </w:t>
      </w:r>
      <w:r>
        <w:t xml:space="preserve">May 25, 2026</w:t>
      </w:r>
    </w:p>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the product mkzlhzxgik (hypothetically, a Smart IoT Sensor), manufactured by pqtfxrgdis. The assessment was performed by dtmtonkkly, Senior Sustainability Consultant, adhering strictly to the GHG Protocol accounting standard, including considerations for the 2026 Land Sector and Removals (LSR) Standard and ensuring over 95% Scope 3 coverage. The primary goal is to quantify the greenhouse gas emissions associated with the product\'s lifecycle, identify emission hotspots, and provide insights for reduction strategies. The system boundary for this analysis is \'factory-gate\', though upstream and downstream emissions are considered for comprehensive Scope 3 reporting.</w:t>
      </w:r>
    </w:p>
    <w:bookmarkEnd w:id="22"/>
    <w:bookmarkStart w:id="23" w:name="methodology"/>
    <w:p>
      <w:pPr>
        <w:pStyle w:val="Heading2"/>
      </w:pPr>
      <w:r>
        <w:t xml:space="preserve">2. Methodology</w:t>
      </w:r>
    </w:p>
    <w:p>
      <w:pPr>
        <w:pStyle w:val="FirstParagraph"/>
      </w:pPr>
      <w:r>
        <w:t xml:space="preserve">The Product Carbon Footprint analysis followed a five-step methodology as per industry best practices and GHG Protocol guidelines:</w:t>
      </w:r>
    </w:p>
    <w:p>
      <w:pPr>
        <w:numPr>
          <w:ilvl w:val="0"/>
          <w:numId w:val="1001"/>
        </w:numPr>
        <w:pStyle w:val="Compact"/>
      </w:pPr>
      <w:r>
        <w:rPr>
          <w:bCs/>
          <w:b/>
        </w:rPr>
        <w:t xml:space="preserve">Define Scope:</w:t>
      </w:r>
      <w:r>
        <w:t xml:space="preserve"> </w:t>
      </w:r>
      <w:r>
        <w:t xml:space="preserve">Establish functional unit, system boundaries, geographic scope, and allocation rules.</w:t>
      </w:r>
    </w:p>
    <w:p>
      <w:pPr>
        <w:numPr>
          <w:ilvl w:val="0"/>
          <w:numId w:val="1001"/>
        </w:numPr>
        <w:pStyle w:val="Compact"/>
      </w:pPr>
      <w:r>
        <w:rPr>
          <w:bCs/>
          <w:b/>
        </w:rPr>
        <w:t xml:space="preserve">Map Lifecycle:</w:t>
      </w:r>
      <w:r>
        <w:t xml:space="preserve"> </w:t>
      </w:r>
      <w:r>
        <w:t xml:space="preserve">Identify and describe all relevant lifecycle stages and associated processes.</w:t>
      </w:r>
    </w:p>
    <w:p>
      <w:pPr>
        <w:numPr>
          <w:ilvl w:val="0"/>
          <w:numId w:val="1001"/>
        </w:numPr>
        <w:pStyle w:val="Compact"/>
      </w:pPr>
      <w:r>
        <w:rPr>
          <w:bCs/>
          <w:b/>
        </w:rPr>
        <w:t xml:space="preserve">Collect Data:</w:t>
      </w:r>
      <w:r>
        <w:t xml:space="preserve"> </w:t>
      </w:r>
      <w:r>
        <w:t xml:space="preserve">Gather primary and secondary data points for material inputs, energy consumption, transportation, and end-of-life scenarios.</w:t>
      </w:r>
    </w:p>
    <w:p>
      <w:pPr>
        <w:numPr>
          <w:ilvl w:val="0"/>
          <w:numId w:val="1001"/>
        </w:numPr>
        <w:pStyle w:val="Compact"/>
      </w:pPr>
      <w:r>
        <w:rPr>
          <w:bCs/>
          <w:b/>
        </w:rPr>
        <w:t xml:space="preserve">Calculate Emissions:</w:t>
      </w:r>
      <w:r>
        <w:t xml:space="preserve"> </w:t>
      </w:r>
      <w:r>
        <w:t xml:space="preserve">Quantify emissions by multiplying activity data with appropriate emission factors.</w:t>
      </w:r>
    </w:p>
    <w:p>
      <w:pPr>
        <w:numPr>
          <w:ilvl w:val="0"/>
          <w:numId w:val="1001"/>
        </w:numPr>
        <w:pStyle w:val="Compact"/>
      </w:pPr>
      <w:r>
        <w:rPr>
          <w:bCs/>
          <w:b/>
        </w:rPr>
        <w:t xml:space="preserve">Review &amp; Report:</w:t>
      </w:r>
      <w:r>
        <w:t xml:space="preserve"> </w:t>
      </w:r>
      <w:r>
        <w:t xml:space="preserve">Analyze results, identify hotspots, assess data reliability, and report findings.</w:t>
      </w:r>
    </w:p>
    <w:p>
      <w:pPr>
        <w:pStyle w:val="FirstParagraph"/>
      </w:pPr>
      <w:r>
        <w:t xml:space="preserve">All emissions are categorized into Scope 1 (direct emissions), Scope 2 (indirect emissions from purchased energy), and Scope 3 (all other indirect emissions in the value chain).</w:t>
      </w:r>
    </w:p>
    <w:p>
      <w:r>
        <w:pict>
          <v:rect style="width:0;height:1.5pt" o:hralign="center" o:hrstd="t" o:hr="t"/>
        </w:pict>
      </w:r>
    </w:p>
    <w:bookmarkEnd w:id="23"/>
    <w:bookmarkStart w:id="29" w:name="define-scope"/>
    <w:p>
      <w:pPr>
        <w:pStyle w:val="Heading2"/>
      </w:pPr>
      <w:r>
        <w:t xml:space="preserve">3. Define Scope</w:t>
      </w:r>
    </w:p>
    <w:bookmarkStart w:id="24" w:name="functional-unit"/>
    <w:p>
      <w:pPr>
        <w:pStyle w:val="Heading3"/>
      </w:pPr>
      <w:r>
        <w:t xml:space="preserve">3.1. Functional Unit</w:t>
      </w:r>
    </w:p>
    <w:p>
      <w:pPr>
        <w:pStyle w:val="FirstParagraph"/>
      </w:pPr>
      <w:r>
        <w:t xml:space="preserve">The functional unit for this PCF analysis is</w:t>
      </w:r>
      <w:r>
        <w:t xml:space="preserve"> </w:t>
      </w:r>
      <w:r>
        <w:rPr>
          <w:bCs/>
          <w:b/>
        </w:rPr>
        <w:t xml:space="preserve">1.0 unit of mkzlhzxgik</w:t>
      </w:r>
      <w:r>
        <w:t xml:space="preserve"> </w:t>
      </w:r>
      <w:r>
        <w:t xml:space="preserve">(Smart IoT Sensor). This unit serves as the reference basis for quantifying all relevant inputs and outputs throughout the product\'s lifecycle.</w:t>
      </w:r>
    </w:p>
    <w:bookmarkEnd w:id="24"/>
    <w:bookmarkStart w:id="25" w:name="system-boundary"/>
    <w:p>
      <w:pPr>
        <w:pStyle w:val="Heading3"/>
      </w:pPr>
      <w:r>
        <w:t xml:space="preserve">3.2. System Boundary</w:t>
      </w:r>
    </w:p>
    <w:p>
      <w:pPr>
        <w:pStyle w:val="FirstParagraph"/>
      </w:pPr>
      <w:r>
        <w:t xml:space="preserve">The system boundary for this assessment is</w:t>
      </w:r>
      <w:r>
        <w:t xml:space="preserve"> </w:t>
      </w:r>
      <w:r>
        <w:rPr>
          <w:bCs/>
          <w:b/>
        </w:rPr>
        <w:t xml:space="preserve">"factory_gate"</w:t>
      </w:r>
      <w:r>
        <w:t xml:space="preserve">. This encompasses emissions from raw material extraction and processing, manufacturing processes up to the point the finished product leaves the production facility in China. However, in line with GHG Protocol and 2026 requirements for comprehensive Scope 3 reporting, significant upstream (raw materials, inbound transport) and downstream (transport to customer, use phase, end-of-life) emissions have also been included to achieve high Scope 3 coverage.</w:t>
      </w:r>
    </w:p>
    <w:bookmarkEnd w:id="25"/>
    <w:bookmarkStart w:id="26" w:name="geographic-scope"/>
    <w:p>
      <w:pPr>
        <w:pStyle w:val="Heading3"/>
      </w:pPr>
      <w:r>
        <w:t xml:space="preserve">3.3.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w:t>
      </w:r>
    </w:p>
    <w:p>
      <w:pPr>
        <w:numPr>
          <w:ilvl w:val="0"/>
          <w:numId w:val="1002"/>
        </w:numPr>
        <w:pStyle w:val="Compact"/>
      </w:pPr>
      <w:r>
        <w:t xml:space="preserve">This implies that raw material sourcing and primary component manufacturing may occur across Europe before final assembly in China, with subsequent distribution to global markets.</w:t>
      </w:r>
    </w:p>
    <w:bookmarkEnd w:id="26"/>
    <w:bookmarkStart w:id="27" w:name="allocation"/>
    <w:p>
      <w:pPr>
        <w:pStyle w:val="Heading3"/>
      </w:pPr>
      <w:r>
        <w:t xml:space="preserve">3.4. Allocation</w:t>
      </w:r>
    </w:p>
    <w:p>
      <w:pPr>
        <w:pStyle w:val="FirstParagraph"/>
      </w:pPr>
      <w:r>
        <w:t xml:space="preserve">For co-product and waste allocation, a</w:t>
      </w:r>
      <w:r>
        <w:t xml:space="preserve"> </w:t>
      </w:r>
      <w:r>
        <w:rPr>
          <w:bCs/>
          <w:b/>
        </w:rPr>
        <w:t xml:space="preserve">mass-based allocation approach</w:t>
      </w:r>
      <w:r>
        <w:t xml:space="preserve"> </w:t>
      </w:r>
      <w:r>
        <w:t xml:space="preserve">has been applied where necessary, assuming that environmental burdens are distributed proportionally to the mass of the output products or waste streams.</w:t>
      </w:r>
    </w:p>
    <w:bookmarkEnd w:id="27"/>
    <w:bookmarkStart w:id="28" w:name="accounting-standard"/>
    <w:p>
      <w:pPr>
        <w:pStyle w:val="Heading3"/>
      </w:pPr>
      <w:r>
        <w:t xml:space="preserve">3.5. Accounting Standard</w:t>
      </w:r>
    </w:p>
    <w:p>
      <w:pPr>
        <w:pStyle w:val="FirstParagraph"/>
      </w:pPr>
      <w:r>
        <w:t xml:space="preserve">This analysis strictly adheres to the</w:t>
      </w:r>
      <w:r>
        <w:t xml:space="preserve"> </w:t>
      </w:r>
      <w:r>
        <w:rPr>
          <w:bCs/>
          <w:b/>
        </w:rPr>
        <w:t xml:space="preserve">GHG Protocol (A Corporate Accounting and Reporting Standard)</w:t>
      </w:r>
      <w:r>
        <w:t xml:space="preserve">. Emissions are categorized into Scope 1, Scope 2, and Scope 3 as defined by the protocol. Furthermore, the analysis incorporates conceptual considerations for the 2026 Land Sector and Removals (LSR) Standard, acknowledging that specific land-use change data would be required for full implementation.</w:t>
      </w:r>
    </w:p>
    <w:p>
      <w:r>
        <w:pict>
          <v:rect style="width:0;height:1.5pt" o:hralign="center" o:hrstd="t" o:hr="t"/>
        </w:pict>
      </w:r>
    </w:p>
    <w:bookmarkEnd w:id="28"/>
    <w:bookmarkEnd w:id="29"/>
    <w:bookmarkStart w:id="37" w:name="X3e46329a61170a5902be59bf4e1a8cabf6c7cb6"/>
    <w:p>
      <w:pPr>
        <w:pStyle w:val="Heading2"/>
      </w:pPr>
      <w:r>
        <w:t xml:space="preserve">4. Map Lifecycle (LCI Inventory Stages) &amp; Collect Data</w:t>
      </w:r>
    </w:p>
    <w:p>
      <w:pPr>
        <w:pStyle w:val="FirstParagraph"/>
      </w:pPr>
      <w:r>
        <w:t xml:space="preserve">The lifecycle of mkzlhzxgik has been mapped through the following stages. Data collection involved using the provided detailed Bill of Materials, specific logistics, energy, use phase, and end-of-life parameters, complemented by industry-standard emission factors (e.g., from Ecoinvent/DEFRA equivalents) for secondary data.</w:t>
      </w:r>
    </w:p>
    <w:bookmarkStart w:id="31" w:name="X1b0368d9fa279ce5f642e6e7a88ce573ab93153"/>
    <w:p>
      <w:pPr>
        <w:pStyle w:val="Heading3"/>
      </w:pPr>
      <w:r>
        <w:t xml:space="preserve">4.1. Raw Material Acquisition &amp; Processing (Scope 3 - Upstream)</w:t>
      </w:r>
    </w:p>
    <w:p>
      <w:pPr>
        <w:pStyle w:val="FirstParagraph"/>
      </w:pPr>
      <w:r>
        <w:t xml:space="preserve">This stage covers the extraction, processing, and manufacturing of all raw materials and components required for mkzlhzxgik. The provided Detailed Bill of Materials (BOM) was used for high-accuracy material impact calculation.</w:t>
      </w:r>
    </w:p>
    <w:bookmarkStart w:id="30" w:name="Xc340fc04c8d6e091623f692309e09194235fd51"/>
    <w:p>
      <w:pPr>
        <w:pStyle w:val="Heading4"/>
      </w:pPr>
      <w:r>
        <w:t xml:space="preserve">Detailed Bill of Materials (BOM) - zmfityfg (Illustrative Data)</w:t>
      </w:r>
    </w:p>
    <w:p>
      <w:pPr>
        <w:pStyle w:val="FirstParagraph"/>
      </w:pPr>
      <w:r>
        <w:t xml:space="preserve">The following table presents a breakdown of key materials and their associated carbon footprints based on their category, process, quantity, and assumed emission factors.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Microcontroller</w:t>
            </w:r>
          </w:p>
        </w:tc>
        <w:tc>
          <w:tcPr/>
          <w:p>
            <w:pPr>
              <w:pStyle w:val="Compact"/>
              <w:jc w:val="left"/>
            </w:pPr>
            <w:r>
              <w:t xml:space="preserve">Electronics</w:t>
            </w:r>
          </w:p>
        </w:tc>
        <w:tc>
          <w:tcPr/>
          <w:p>
            <w:pPr>
              <w:pStyle w:val="Compact"/>
              <w:jc w:val="left"/>
            </w:pPr>
            <w:r>
              <w:t xml:space="preserve">Chip Manufacturing</w:t>
            </w:r>
          </w:p>
        </w:tc>
        <w:tc>
          <w:tcPr/>
          <w:p>
            <w:pPr>
              <w:pStyle w:val="Compact"/>
              <w:jc w:val="left"/>
            </w:pPr>
            <w:r>
              <w:t xml:space="preserve">1.00</w:t>
            </w:r>
          </w:p>
        </w:tc>
        <w:tc>
          <w:tcPr/>
          <w:p>
            <w:pPr>
              <w:pStyle w:val="Compact"/>
              <w:jc w:val="left"/>
            </w:pPr>
            <w:r>
              <w:t xml:space="preserve">unit</w:t>
            </w:r>
          </w:p>
        </w:tc>
        <w:tc>
          <w:tcPr/>
          <w:p>
            <w:pPr>
              <w:pStyle w:val="Compact"/>
              <w:jc w:val="left"/>
            </w:pPr>
            <w:r>
              <w:t xml:space="preserve">0.50</w:t>
            </w:r>
          </w:p>
        </w:tc>
        <w:tc>
          <w:tcPr/>
          <w:p>
            <w:pPr>
              <w:pStyle w:val="Compact"/>
              <w:jc w:val="left"/>
            </w:pPr>
            <w:r>
              <w:t xml:space="preserve">0.50</w:t>
            </w:r>
          </w:p>
        </w:tc>
      </w:tr>
      <w:tr>
        <w:tc>
          <w:tcPr/>
          <w:p>
            <w:pPr>
              <w:pStyle w:val="Compact"/>
              <w:jc w:val="left"/>
            </w:pPr>
            <w:r>
              <w:t xml:space="preserve">2</w:t>
            </w:r>
          </w:p>
        </w:tc>
        <w:tc>
          <w:tcPr/>
          <w:p>
            <w:pPr>
              <w:pStyle w:val="Compact"/>
              <w:jc w:val="left"/>
            </w:pPr>
            <w:r>
              <w:t xml:space="preserve">Plastic Casing (ABS)</w:t>
            </w:r>
          </w:p>
        </w:tc>
        <w:tc>
          <w:tcPr/>
          <w:p>
            <w:pPr>
              <w:pStyle w:val="Compact"/>
              <w:jc w:val="left"/>
            </w:pPr>
            <w:r>
              <w:t xml:space="preserve">Polymers</w:t>
            </w:r>
          </w:p>
        </w:tc>
        <w:tc>
          <w:tcPr/>
          <w:p>
            <w:pPr>
              <w:pStyle w:val="Compact"/>
              <w:jc w:val="left"/>
            </w:pPr>
            <w:r>
              <w:t xml:space="preserve">Injection Molding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3.00</w:t>
            </w:r>
          </w:p>
        </w:tc>
        <w:tc>
          <w:tcPr/>
          <w:p>
            <w:pPr>
              <w:pStyle w:val="Compact"/>
              <w:jc w:val="left"/>
            </w:pPr>
            <w:r>
              <w:t xml:space="preserve">0.15</w:t>
            </w:r>
          </w:p>
        </w:tc>
      </w:tr>
      <w:tr>
        <w:tc>
          <w:tcPr/>
          <w:p>
            <w:pPr>
              <w:pStyle w:val="Compact"/>
              <w:jc w:val="left"/>
            </w:pPr>
            <w:r>
              <w:t xml:space="preserve">3</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Battery Production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15.00</w:t>
            </w:r>
          </w:p>
        </w:tc>
        <w:tc>
          <w:tcPr/>
          <w:p>
            <w:pPr>
              <w:pStyle w:val="Compact"/>
              <w:jc w:val="left"/>
            </w:pPr>
            <w:r>
              <w:t xml:space="preserve">0.30</w:t>
            </w:r>
          </w:p>
        </w:tc>
      </w:tr>
      <w:tr>
        <w:tc>
          <w:tcPr/>
          <w:p>
            <w:pPr>
              <w:pStyle w:val="Compact"/>
              <w:jc w:val="left"/>
            </w:pPr>
            <w:r>
              <w:t xml:space="preserve">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PCB Fabrication</w:t>
            </w:r>
          </w:p>
        </w:tc>
        <w:tc>
          <w:tcPr/>
          <w:p>
            <w:pPr>
              <w:pStyle w:val="Compact"/>
              <w:jc w:val="left"/>
            </w:pPr>
            <w:r>
              <w:t xml:space="preserve">1.00</w:t>
            </w:r>
          </w:p>
        </w:tc>
        <w:tc>
          <w:tcPr/>
          <w:p>
            <w:pPr>
              <w:pStyle w:val="Compact"/>
              <w:jc w:val="left"/>
            </w:pPr>
            <w:r>
              <w:t xml:space="preserve">unit</w:t>
            </w:r>
          </w:p>
        </w:tc>
        <w:tc>
          <w:tcPr/>
          <w:p>
            <w:pPr>
              <w:pStyle w:val="Compact"/>
              <w:jc w:val="left"/>
            </w:pPr>
            <w:r>
              <w:t xml:space="preserve">0.20</w:t>
            </w:r>
          </w:p>
        </w:tc>
        <w:tc>
          <w:tcPr/>
          <w:p>
            <w:pPr>
              <w:pStyle w:val="Compact"/>
              <w:jc w:val="left"/>
            </w:pPr>
            <w:r>
              <w:t xml:space="preserve">0.20</w:t>
            </w:r>
          </w:p>
        </w:tc>
      </w:tr>
      <w:tr>
        <w:tc>
          <w:tcPr/>
          <w:p>
            <w:pPr>
              <w:pStyle w:val="Compact"/>
              <w:jc w:val="left"/>
            </w:pPr>
            <w:r>
              <w:t xml:space="preserve">5</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2.50</w:t>
            </w:r>
          </w:p>
        </w:tc>
        <w:tc>
          <w:tcPr/>
          <w:p>
            <w:pPr>
              <w:pStyle w:val="Compact"/>
              <w:jc w:val="left"/>
            </w:pPr>
            <w:r>
              <w:t xml:space="preserve">0.025</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Pulp &amp; Paper Mfg.</w:t>
            </w:r>
          </w:p>
        </w:tc>
        <w:tc>
          <w:tcPr/>
          <w:p>
            <w:pPr>
              <w:pStyle w:val="Compact"/>
              <w:jc w:val="left"/>
            </w:pPr>
            <w:r>
              <w:t xml:space="preserve">0.10</w:t>
            </w:r>
          </w:p>
        </w:tc>
        <w:tc>
          <w:tcPr/>
          <w:p>
            <w:pPr>
              <w:pStyle w:val="Compact"/>
              <w:jc w:val="left"/>
            </w:pPr>
            <w:r>
              <w:t xml:space="preserve">kg</w:t>
            </w:r>
          </w:p>
        </w:tc>
        <w:tc>
          <w:tcPr/>
          <w:p>
            <w:pPr>
              <w:pStyle w:val="Compact"/>
              <w:jc w:val="left"/>
            </w:pPr>
            <w:r>
              <w:t xml:space="preserve">1.50</w:t>
            </w:r>
          </w:p>
        </w:tc>
        <w:tc>
          <w:tcPr/>
          <w:p>
            <w:pPr>
              <w:pStyle w:val="Compact"/>
              <w:jc w:val="left"/>
            </w:pPr>
            <w:r>
              <w:t xml:space="preserve">0.15</w:t>
            </w:r>
          </w:p>
        </w:tc>
      </w:tr>
    </w:tbl>
    <w:p>
      <w:pPr>
        <w:pStyle w:val="BodyText"/>
      </w:pPr>
      <w:r>
        <w:rPr>
          <w:bCs/>
          <w:b/>
        </w:rPr>
        <w:t xml:space="preserve">Total Material Footprint (Illustrative):</w:t>
      </w:r>
      <w:r>
        <w:t xml:space="preserve"> </w:t>
      </w:r>
      <w:r>
        <w:t xml:space="preserve">1.325 kgCO2e (This sum reflects the "Total Carbon" column in the table above based on the example data provided).</w:t>
      </w:r>
    </w:p>
    <w:bookmarkEnd w:id="30"/>
    <w:bookmarkEnd w:id="31"/>
    <w:bookmarkStart w:id="32" w:name="manufacturing-production-scope-1-2"/>
    <w:p>
      <w:pPr>
        <w:pStyle w:val="Heading3"/>
      </w:pPr>
      <w:r>
        <w:t xml:space="preserve">4.2. Manufacturing / Production (Scope 1 &amp; 2)</w:t>
      </w:r>
    </w:p>
    <w:p>
      <w:pPr>
        <w:pStyle w:val="FirstParagraph"/>
      </w:pPr>
      <w:r>
        <w:t xml:space="preserve">This stage covers the energy consumption and direct emissions from the final assembly of mkzlhzxgik in China.</w:t>
      </w:r>
    </w:p>
    <w:p>
      <w:pPr>
        <w:numPr>
          <w:ilvl w:val="0"/>
          <w:numId w:val="1003"/>
        </w:numPr>
        <w:pStyle w:val="Compact"/>
      </w:pPr>
      <w:r>
        <w:rPr>
          <w:bCs/>
          <w:b/>
        </w:rPr>
        <w:t xml:space="preserve">Energy Intensity (kWh/unit):</w:t>
      </w:r>
      <w:r>
        <w:t xml:space="preserve"> </w:t>
      </w:r>
      <w:r>
        <w:t xml:space="preserve">fhtplwdeqt = 2.5 kWh/unit</w:t>
      </w:r>
    </w:p>
    <w:p>
      <w:pPr>
        <w:numPr>
          <w:ilvl w:val="0"/>
          <w:numId w:val="1003"/>
        </w:numPr>
        <w:pStyle w:val="Compact"/>
      </w:pPr>
      <w:r>
        <w:rPr>
          <w:bCs/>
          <w:b/>
        </w:rPr>
        <w:t xml:space="preserve">Renewable Energy Usage (njkgzoened):</w:t>
      </w:r>
      <w:r>
        <w:t xml:space="preserve"> </w:t>
      </w:r>
      <w:r>
        <w:t xml:space="preserve">40% of electricity purchased is from renewable sources.</w:t>
      </w:r>
    </w:p>
    <w:p>
      <w:pPr>
        <w:numPr>
          <w:ilvl w:val="0"/>
          <w:numId w:val="1003"/>
        </w:numPr>
        <w:pStyle w:val="Compact"/>
      </w:pPr>
      <w:r>
        <w:rPr>
          <w:bCs/>
          <w:b/>
        </w:rPr>
        <w:t xml:space="preserve">Electricity Grid Emission Factor (China):</w:t>
      </w:r>
      <w:r>
        <w:t xml:space="preserve"> </w:t>
      </w:r>
      <w:r>
        <w:t xml:space="preserve">Assumed 0.6 kgCO2e/kWh for non-renewable portion.</w:t>
      </w:r>
    </w:p>
    <w:p>
      <w:pPr>
        <w:numPr>
          <w:ilvl w:val="0"/>
          <w:numId w:val="1003"/>
        </w:numPr>
        <w:pStyle w:val="Compact"/>
      </w:pPr>
      <w:r>
        <w:rPr>
          <w:bCs/>
          <w:b/>
        </w:rPr>
        <w:t xml:space="preserve">Scope 1 (Direct Emissions):</w:t>
      </w:r>
      <w:r>
        <w:t xml:space="preserve"> </w:t>
      </w:r>
      <w:r>
        <w:t xml:space="preserve">Assumed negligible or captured within Scope 2 for typical electronic assembly. If on-site fuel combustion were significant, it would be calculated here. For this analysis, it is assumed purchased electricity is the dominant factor.</w:t>
      </w:r>
    </w:p>
    <w:bookmarkEnd w:id="32"/>
    <w:bookmarkStart w:id="33" w:name="X981923b8cb60f0edee598a5efe02199461582eb"/>
    <w:p>
      <w:pPr>
        <w:pStyle w:val="Heading3"/>
      </w:pPr>
      <w:r>
        <w:t xml:space="preserve">4.3. Transportation (Scope 3 - Upstream &amp; Downstream)</w:t>
      </w:r>
    </w:p>
    <w:p>
      <w:pPr>
        <w:pStyle w:val="FirstParagraph"/>
      </w:pPr>
      <w:r>
        <w:t xml:space="preserve">This section includes emissions from transporting raw materials to the factory (upstream) and from the factory to the end customer (downstream). Specific logistics data was incorporated.</w:t>
      </w:r>
    </w:p>
    <w:p>
      <w:pPr>
        <w:numPr>
          <w:ilvl w:val="0"/>
          <w:numId w:val="1004"/>
        </w:numPr>
        <w:pStyle w:val="Compact"/>
      </w:pPr>
      <w:r>
        <w:rPr>
          <w:bCs/>
          <w:b/>
        </w:rPr>
        <w:t xml:space="preserve">Upstream Transport (Components from Europe to China factory):</w:t>
      </w:r>
    </w:p>
    <w:p>
      <w:pPr>
        <w:numPr>
          <w:ilvl w:val="1"/>
          <w:numId w:val="1005"/>
        </w:numPr>
        <w:pStyle w:val="Compact"/>
      </w:pPr>
      <w:r>
        <w:rPr>
          <w:bCs/>
          <w:b/>
        </w:rPr>
        <w:t xml:space="preserve">Transport Mode:</w:t>
      </w:r>
      <w:r>
        <w:t xml:space="preserve"> </w:t>
      </w:r>
      <w:r>
        <w:t xml:space="preserve">Ocean Freight (Container Ship)</w:t>
      </w:r>
    </w:p>
    <w:p>
      <w:pPr>
        <w:numPr>
          <w:ilvl w:val="1"/>
          <w:numId w:val="1005"/>
        </w:numPr>
        <w:pStyle w:val="Compact"/>
      </w:pPr>
      <w:r>
        <w:rPr>
          <w:bCs/>
          <w:b/>
        </w:rPr>
        <w:t xml:space="preserve">Transport Distance:</w:t>
      </w:r>
      <w:r>
        <w:t xml:space="preserve"> </w:t>
      </w:r>
      <w:r>
        <w:t xml:space="preserve">tvqqlyguwe = 15,000 km</w:t>
      </w:r>
    </w:p>
    <w:p>
      <w:pPr>
        <w:numPr>
          <w:ilvl w:val="1"/>
          <w:numId w:val="1005"/>
        </w:numPr>
        <w:pStyle w:val="Compact"/>
      </w:pPr>
      <w:r>
        <w:rPr>
          <w:bCs/>
          <w:b/>
        </w:rPr>
        <w:t xml:space="preserve">Assumed Freight Weight per unit:</w:t>
      </w:r>
      <w:r>
        <w:t xml:space="preserve"> </w:t>
      </w:r>
      <w:r>
        <w:t xml:space="preserve">0.2 kg (total for components)</w:t>
      </w:r>
    </w:p>
    <w:p>
      <w:pPr>
        <w:numPr>
          <w:ilvl w:val="1"/>
          <w:numId w:val="1005"/>
        </w:numPr>
        <w:pStyle w:val="Compact"/>
      </w:pPr>
      <w:r>
        <w:rPr>
          <w:bCs/>
          <w:b/>
        </w:rPr>
        <w:t xml:space="preserve">Emission Factor (Ocean Freight):</w:t>
      </w:r>
      <w:r>
        <w:t xml:space="preserve"> </w:t>
      </w:r>
      <w:r>
        <w:t xml:space="preserve">~0.01 kgCO2e/tkm (tonne-kilometer)</w:t>
      </w:r>
    </w:p>
    <w:p>
      <w:pPr>
        <w:numPr>
          <w:ilvl w:val="1"/>
          <w:numId w:val="1005"/>
        </w:numPr>
        <w:pStyle w:val="Compact"/>
      </w:pPr>
      <w:r>
        <w:rPr>
          <w:bCs/>
          <w:b/>
        </w:rPr>
        <w:t xml:space="preserve">Calculated Emissions:</w:t>
      </w:r>
      <w:r>
        <w:t xml:space="preserve"> </w:t>
      </w:r>
      <w:r>
        <w:t xml:space="preserve">(0.2 kg / 1000 kg/t) * 15,000 km * 0.01 kgCO2e/tkm = 0.03 kgCO2e</w:t>
      </w:r>
    </w:p>
    <w:p>
      <w:pPr>
        <w:numPr>
          <w:ilvl w:val="0"/>
          <w:numId w:val="1004"/>
        </w:numPr>
        <w:pStyle w:val="Compact"/>
      </w:pPr>
      <w:r>
        <w:rPr>
          <w:bCs/>
          <w:b/>
        </w:rPr>
        <w:t xml:space="preserve">Factory to Port (China):</w:t>
      </w:r>
    </w:p>
    <w:p>
      <w:pPr>
        <w:numPr>
          <w:ilvl w:val="1"/>
          <w:numId w:val="1006"/>
        </w:numPr>
        <w:pStyle w:val="Compact"/>
      </w:pPr>
      <w:r>
        <w:rPr>
          <w:bCs/>
          <w:b/>
        </w:rPr>
        <w:t xml:space="preserve">Transport Mode:</w:t>
      </w:r>
      <w:r>
        <w:t xml:space="preserve"> </w:t>
      </w:r>
      <w:r>
        <w:t xml:space="preserve">Road Freight (Heavy Duty Truck)</w:t>
      </w:r>
    </w:p>
    <w:p>
      <w:pPr>
        <w:numPr>
          <w:ilvl w:val="1"/>
          <w:numId w:val="1006"/>
        </w:numPr>
        <w:pStyle w:val="Compact"/>
      </w:pPr>
      <w:r>
        <w:rPr>
          <w:bCs/>
          <w:b/>
        </w:rPr>
        <w:t xml:space="preserve">Transport Distance:</w:t>
      </w:r>
      <w:r>
        <w:t xml:space="preserve"> </w:t>
      </w:r>
      <w:r>
        <w:t xml:space="preserve">200 km</w:t>
      </w:r>
    </w:p>
    <w:p>
      <w:pPr>
        <w:numPr>
          <w:ilvl w:val="1"/>
          <w:numId w:val="1006"/>
        </w:numPr>
        <w:pStyle w:val="Compact"/>
      </w:pPr>
      <w:r>
        <w:rPr>
          <w:bCs/>
          <w:b/>
        </w:rPr>
        <w:t xml:space="preserve">Assumed Freight Weight per unit:</w:t>
      </w:r>
      <w:r>
        <w:t xml:space="preserve"> </w:t>
      </w:r>
      <w:r>
        <w:t xml:space="preserve">0.2 kg</w:t>
      </w:r>
    </w:p>
    <w:p>
      <w:pPr>
        <w:numPr>
          <w:ilvl w:val="1"/>
          <w:numId w:val="1006"/>
        </w:numPr>
        <w:pStyle w:val="Compact"/>
      </w:pPr>
      <w:r>
        <w:rPr>
          <w:bCs/>
          <w:b/>
        </w:rPr>
        <w:t xml:space="preserve">Emission Factor (Road Freight - HD Truck):</w:t>
      </w:r>
      <w:r>
        <w:t xml:space="preserve"> </w:t>
      </w:r>
      <w:r>
        <w:t xml:space="preserve">~0.1 kgCO2e/tkm</w:t>
      </w:r>
    </w:p>
    <w:p>
      <w:pPr>
        <w:numPr>
          <w:ilvl w:val="1"/>
          <w:numId w:val="1006"/>
        </w:numPr>
        <w:pStyle w:val="Compact"/>
      </w:pPr>
      <w:r>
        <w:rPr>
          <w:bCs/>
          <w:b/>
        </w:rPr>
        <w:t xml:space="preserve">Calculated Emissions:</w:t>
      </w:r>
      <w:r>
        <w:t xml:space="preserve"> </w:t>
      </w:r>
      <w:r>
        <w:t xml:space="preserve">(0.2 kg / 1000 kg/t) * 200 km * 0.1 kgCO2e/tkm = 0.004 kgCO2e</w:t>
      </w:r>
    </w:p>
    <w:p>
      <w:pPr>
        <w:numPr>
          <w:ilvl w:val="0"/>
          <w:numId w:val="1004"/>
        </w:numPr>
        <w:pStyle w:val="Compact"/>
      </w:pPr>
      <w:r>
        <w:rPr>
          <w:bCs/>
          <w:b/>
        </w:rPr>
        <w:t xml:space="preserve">Last-Mile Delivery (Delivery Type - to end customer):</w:t>
      </w:r>
    </w:p>
    <w:p>
      <w:pPr>
        <w:numPr>
          <w:ilvl w:val="1"/>
          <w:numId w:val="1007"/>
        </w:numPr>
        <w:pStyle w:val="Compact"/>
      </w:pPr>
      <w:r>
        <w:rPr>
          <w:bCs/>
          <w:b/>
        </w:rPr>
        <w:t xml:space="preserve">Transport Mode:</w:t>
      </w:r>
      <w:r>
        <w:t xml:space="preserve"> </w:t>
      </w:r>
      <w:r>
        <w:t xml:space="preserve">Road Freight (Light Commercial Van)</w:t>
      </w:r>
    </w:p>
    <w:p>
      <w:pPr>
        <w:numPr>
          <w:ilvl w:val="1"/>
          <w:numId w:val="1007"/>
        </w:numPr>
        <w:pStyle w:val="Compact"/>
      </w:pPr>
      <w:r>
        <w:rPr>
          <w:bCs/>
          <w:b/>
        </w:rPr>
        <w:t xml:space="preserve">Transport Distance:</w:t>
      </w:r>
      <w:r>
        <w:t xml:space="preserve"> </w:t>
      </w:r>
      <w:r>
        <w:t xml:space="preserve">tvqqlyguwe = 500 km (illustrative average for European delivery)</w:t>
      </w:r>
    </w:p>
    <w:p>
      <w:pPr>
        <w:numPr>
          <w:ilvl w:val="1"/>
          <w:numId w:val="1007"/>
        </w:numPr>
        <w:pStyle w:val="Compact"/>
      </w:pPr>
      <w:r>
        <w:rPr>
          <w:bCs/>
          <w:b/>
        </w:rPr>
        <w:t xml:space="preserve">Assumed Freight Weight per unit:</w:t>
      </w:r>
      <w:r>
        <w:t xml:space="preserve"> </w:t>
      </w:r>
      <w:r>
        <w:t xml:space="preserve">0.2 kg</w:t>
      </w:r>
    </w:p>
    <w:p>
      <w:pPr>
        <w:numPr>
          <w:ilvl w:val="1"/>
          <w:numId w:val="1007"/>
        </w:numPr>
        <w:pStyle w:val="Compact"/>
      </w:pPr>
      <w:r>
        <w:rPr>
          <w:bCs/>
          <w:b/>
        </w:rPr>
        <w:t xml:space="preserve">Emission Factor (Road Freight - LCV):</w:t>
      </w:r>
      <w:r>
        <w:t xml:space="preserve"> </w:t>
      </w:r>
      <w:r>
        <w:t xml:space="preserve">~0.2 kgCO2e/tkm</w:t>
      </w:r>
    </w:p>
    <w:p>
      <w:pPr>
        <w:numPr>
          <w:ilvl w:val="1"/>
          <w:numId w:val="1007"/>
        </w:numPr>
        <w:pStyle w:val="Compact"/>
      </w:pPr>
      <w:r>
        <w:rPr>
          <w:bCs/>
          <w:b/>
        </w:rPr>
        <w:t xml:space="preserve">Calculated Emissions:</w:t>
      </w:r>
      <w:r>
        <w:t xml:space="preserve"> </w:t>
      </w:r>
      <w:r>
        <w:t xml:space="preserve">(0.2 kg / 1000 kg/t) * 500 km * 0.2 kgCO2e/tkm = 0.02 kgCO2e</w:t>
      </w:r>
    </w:p>
    <w:p>
      <w:pPr>
        <w:pStyle w:val="FirstParagraph"/>
      </w:pPr>
      <w:r>
        <w:rPr>
          <w:bCs/>
          <w:b/>
        </w:rPr>
        <w:t xml:space="preserve">Total Transport Footprint (Illustrative):</w:t>
      </w:r>
      <w:r>
        <w:t xml:space="preserve"> </w:t>
      </w:r>
      <w:r>
        <w:t xml:space="preserve">0.03 + 0.004 + 0.02 = 0.054 kgCO2e</w:t>
      </w:r>
    </w:p>
    <w:bookmarkEnd w:id="33"/>
    <w:bookmarkStart w:id="34" w:name="use-phase-scope-3---downstream"/>
    <w:p>
      <w:pPr>
        <w:pStyle w:val="Heading3"/>
      </w:pPr>
      <w:r>
        <w:t xml:space="preserve">4.4. Use Phase (Scope 3 - Downstream)</w:t>
      </w:r>
    </w:p>
    <w:p>
      <w:pPr>
        <w:pStyle w:val="FirstParagraph"/>
      </w:pPr>
      <w:r>
        <w:t xml:space="preserve">The use phase considers the energy consumed by the product during its operational lifespan.</w:t>
      </w:r>
    </w:p>
    <w:p>
      <w:pPr>
        <w:numPr>
          <w:ilvl w:val="0"/>
          <w:numId w:val="1008"/>
        </w:numPr>
        <w:pStyle w:val="Compact"/>
      </w:pPr>
      <w:r>
        <w:rPr>
          <w:bCs/>
          <w:b/>
        </w:rPr>
        <w:t xml:space="preserve">Product Lifespan (zfwdvmrghz):</w:t>
      </w:r>
      <w:r>
        <w:t xml:space="preserve"> </w:t>
      </w:r>
      <w:r>
        <w:t xml:space="preserve">5 years</w:t>
      </w:r>
    </w:p>
    <w:p>
      <w:pPr>
        <w:numPr>
          <w:ilvl w:val="0"/>
          <w:numId w:val="1008"/>
        </w:numPr>
        <w:pStyle w:val="Compact"/>
      </w:pPr>
      <w:r>
        <w:rPr>
          <w:bCs/>
          <w:b/>
        </w:rPr>
        <w:t xml:space="preserve">Energy Consumption in Use (ryjusoehzi):</w:t>
      </w:r>
      <w:r>
        <w:t xml:space="preserve"> </w:t>
      </w:r>
      <w:r>
        <w:t xml:space="preserve">5 kWh/year</w:t>
      </w:r>
    </w:p>
    <w:p>
      <w:pPr>
        <w:numPr>
          <w:ilvl w:val="0"/>
          <w:numId w:val="1008"/>
        </w:numPr>
        <w:pStyle w:val="Compact"/>
      </w:pPr>
      <w:r>
        <w:rPr>
          <w:bCs/>
          <w:b/>
        </w:rPr>
        <w:t xml:space="preserve">Total Energy Consumption over Lifespan:</w:t>
      </w:r>
      <w:r>
        <w:t xml:space="preserve"> </w:t>
      </w:r>
      <w:r>
        <w:t xml:space="preserve">5 years * 5 kWh/year = 25 kWh</w:t>
      </w:r>
    </w:p>
    <w:p>
      <w:pPr>
        <w:numPr>
          <w:ilvl w:val="0"/>
          <w:numId w:val="1008"/>
        </w:numPr>
        <w:pStyle w:val="Compact"/>
      </w:pPr>
      <w:r>
        <w:rPr>
          <w:bCs/>
          <w:b/>
        </w:rPr>
        <w:t xml:space="preserve">Assumed Electricity Grid Emission Factor (Europe Average for user):</w:t>
      </w:r>
      <w:r>
        <w:t xml:space="preserve"> </w:t>
      </w:r>
      <w:r>
        <w:t xml:space="preserve">0.27 kgCO2e/kWh</w:t>
      </w:r>
    </w:p>
    <w:p>
      <w:pPr>
        <w:numPr>
          <w:ilvl w:val="0"/>
          <w:numId w:val="1008"/>
        </w:numPr>
        <w:pStyle w:val="Compact"/>
      </w:pPr>
      <w:r>
        <w:rPr>
          <w:bCs/>
          <w:b/>
        </w:rPr>
        <w:t xml:space="preserve">Calculated Emissions:</w:t>
      </w:r>
      <w:r>
        <w:t xml:space="preserve"> </w:t>
      </w:r>
      <w:r>
        <w:t xml:space="preserve">25 kWh * 0.27 kgCO2e/kWh = 6.75 kgCO2e</w:t>
      </w:r>
    </w:p>
    <w:p>
      <w:pPr>
        <w:pStyle w:val="FirstParagraph"/>
      </w:pPr>
      <w:r>
        <w:rPr>
          <w:bCs/>
          <w:b/>
        </w:rPr>
        <w:t xml:space="preserve">Total Use Phase Footprint (Illustrative):</w:t>
      </w:r>
      <w:r>
        <w:t xml:space="preserve"> </w:t>
      </w:r>
      <w:r>
        <w:t xml:space="preserve">6.75 kgCO2e</w:t>
      </w:r>
    </w:p>
    <w:bookmarkEnd w:id="34"/>
    <w:bookmarkStart w:id="35" w:name="end-of-life-eol-scope-3---downstream"/>
    <w:p>
      <w:pPr>
        <w:pStyle w:val="Heading3"/>
      </w:pPr>
      <w:r>
        <w:t xml:space="preserve">4.5. End-of-Life (EoL) (Scope 3 - Downstream)</w:t>
      </w:r>
    </w:p>
    <w:p>
      <w:pPr>
        <w:pStyle w:val="FirstParagraph"/>
      </w:pPr>
      <w:r>
        <w:t xml:space="preserve">This stage accounts for the emissions or avoided emissions from product disposal, recycling, or recovery.</w:t>
      </w:r>
    </w:p>
    <w:p>
      <w:pPr>
        <w:numPr>
          <w:ilvl w:val="0"/>
          <w:numId w:val="1009"/>
        </w:numPr>
        <w:pStyle w:val="Compact"/>
      </w:pPr>
      <w:r>
        <w:rPr>
          <w:bCs/>
          <w:b/>
        </w:rPr>
        <w:t xml:space="preserve">Recyclability Percentage (srxwnvxtkj):</w:t>
      </w:r>
      <w:r>
        <w:t xml:space="preserve"> </w:t>
      </w:r>
      <w:r>
        <w:t xml:space="preserve">70%</w:t>
      </w:r>
    </w:p>
    <w:p>
      <w:pPr>
        <w:numPr>
          <w:ilvl w:val="0"/>
          <w:numId w:val="1009"/>
        </w:numPr>
        <w:pStyle w:val="Compact"/>
      </w:pPr>
      <w:r>
        <w:rPr>
          <w:bCs/>
          <w:b/>
        </w:rPr>
        <w:t xml:space="preserve">Circular/Take-back Programs (zdhrspppyu):</w:t>
      </w:r>
      <w:r>
        <w:t xml:space="preserve"> </w:t>
      </w:r>
      <w:r>
        <w:t xml:space="preserve">Yes - Manufacturer-led take-back program for key components.</w:t>
      </w:r>
    </w:p>
    <w:p>
      <w:pPr>
        <w:numPr>
          <w:ilvl w:val="0"/>
          <w:numId w:val="1009"/>
        </w:numPr>
        <w:pStyle w:val="Compact"/>
      </w:pPr>
      <w:r>
        <w:rPr>
          <w:bCs/>
          <w:b/>
        </w:rPr>
        <w:t xml:space="preserve">Product Weight:</w:t>
      </w:r>
      <w:r>
        <w:t xml:space="preserve"> </w:t>
      </w:r>
      <w:r>
        <w:t xml:space="preserve">Assuming total weight of materials from BOM is 0.5 kg (0.05kg Plastic + 0.02kg Battery + 0.01kg Copper + 0.1kg Packaging + assume 0.32kg for Microcontroller/PCB/other).</w:t>
      </w:r>
    </w:p>
    <w:p>
      <w:pPr>
        <w:numPr>
          <w:ilvl w:val="0"/>
          <w:numId w:val="1009"/>
        </w:numPr>
        <w:pStyle w:val="Compact"/>
      </w:pPr>
      <w:r>
        <w:rPr>
          <w:bCs/>
          <w:b/>
        </w:rPr>
        <w:t xml:space="preserve">Recycled Portion:</w:t>
      </w:r>
      <w:r>
        <w:t xml:space="preserve"> </w:t>
      </w:r>
      <w:r>
        <w:t xml:space="preserve">0.5 kg * 70% = 0.35 kg</w:t>
      </w:r>
    </w:p>
    <w:p>
      <w:pPr>
        <w:numPr>
          <w:ilvl w:val="0"/>
          <w:numId w:val="1009"/>
        </w:numPr>
        <w:pStyle w:val="Compact"/>
      </w:pPr>
      <w:r>
        <w:rPr>
          <w:bCs/>
          <w:b/>
        </w:rPr>
        <w:t xml:space="preserve">Disposed Portion (Landfill):</w:t>
      </w:r>
      <w:r>
        <w:t xml:space="preserve"> </w:t>
      </w:r>
      <w:r>
        <w:t xml:space="preserve">0.5 kg * 30% = 0.15 kg</w:t>
      </w:r>
    </w:p>
    <w:p>
      <w:pPr>
        <w:numPr>
          <w:ilvl w:val="0"/>
          <w:numId w:val="1009"/>
        </w:numPr>
        <w:pStyle w:val="Compact"/>
      </w:pPr>
      <w:r>
        <w:rPr>
          <w:bCs/>
          <w:b/>
        </w:rPr>
        <w:t xml:space="preserve">Emission Factor (Landfill, generic):</w:t>
      </w:r>
      <w:r>
        <w:t xml:space="preserve"> </w:t>
      </w:r>
      <w:r>
        <w:t xml:space="preserve">1.0 kgCO2e/kg</w:t>
      </w:r>
    </w:p>
    <w:p>
      <w:pPr>
        <w:numPr>
          <w:ilvl w:val="0"/>
          <w:numId w:val="1009"/>
        </w:numPr>
        <w:pStyle w:val="Compact"/>
      </w:pPr>
      <w:r>
        <w:rPr>
          <w:bCs/>
          <w:b/>
        </w:rPr>
        <w:t xml:space="preserve">Recycling Credit:</w:t>
      </w:r>
      <w:r>
        <w:t xml:space="preserve"> </w:t>
      </w:r>
      <w:r>
        <w:t xml:space="preserve">For the recycled portion, a credit is applied assuming 50% of the virgin material impact is avoided (illustrative). Total virgin material impact (excluding packaging and energy for simplicity) ~ 1.175 kgCO2e. Credit for 70% of this: - (1.175 kgCO2e * 0.7 * 0.5) = -0.41 kgCO2e.</w:t>
      </w:r>
    </w:p>
    <w:p>
      <w:pPr>
        <w:numPr>
          <w:ilvl w:val="0"/>
          <w:numId w:val="1009"/>
        </w:numPr>
        <w:pStyle w:val="Compact"/>
      </w:pPr>
      <w:r>
        <w:rPr>
          <w:bCs/>
          <w:b/>
        </w:rPr>
        <w:t xml:space="preserve">Calculated Emissions (Disposal):</w:t>
      </w:r>
      <w:r>
        <w:t xml:space="preserve"> </w:t>
      </w:r>
      <w:r>
        <w:t xml:space="preserve">0.15 kg * 1.0 kgCO2e/kg = 0.15 kgCO2e</w:t>
      </w:r>
    </w:p>
    <w:p>
      <w:pPr>
        <w:numPr>
          <w:ilvl w:val="0"/>
          <w:numId w:val="1009"/>
        </w:numPr>
        <w:pStyle w:val="Compact"/>
      </w:pPr>
      <w:r>
        <w:rPr>
          <w:bCs/>
          <w:b/>
        </w:rPr>
        <w:t xml:space="preserve">Total End-of-Life Footprint (Illustrative):</w:t>
      </w:r>
      <w:r>
        <w:t xml:space="preserve"> </w:t>
      </w:r>
      <w:r>
        <w:t xml:space="preserve">0.15 kgCO2e - 0.41 kgCO2e = -0.26 kgCO2e (Net credit due to high recyclability and circular program).</w:t>
      </w:r>
    </w:p>
    <w:p>
      <w:pPr>
        <w:pStyle w:val="FirstParagraph"/>
      </w:pPr>
      <w:r>
        <w:rPr>
          <w:bCs/>
          <w:b/>
        </w:rPr>
        <w:t xml:space="preserve">Total End-of-Life Footprint (Illustrative):</w:t>
      </w:r>
      <w:r>
        <w:t xml:space="preserve"> </w:t>
      </w:r>
      <w:r>
        <w:t xml:space="preserve">-0.26 kgCO2e</w:t>
      </w:r>
    </w:p>
    <w:bookmarkEnd w:id="35"/>
    <w:bookmarkStart w:id="36" w:name="lsr-update-considerations"/>
    <w:p>
      <w:pPr>
        <w:pStyle w:val="Heading3"/>
      </w:pPr>
      <w:r>
        <w:t xml:space="preserve">4.6. 2026 LSR Update Considerations</w:t>
      </w:r>
    </w:p>
    <w:p>
      <w:pPr>
        <w:pStyle w:val="FirstParagraph"/>
      </w:pPr>
      <w:r>
        <w:t xml:space="preserve">The Land Sector and Removals (LSR) Standard aims to provide comprehensive guidance for accounting and reporting GHG emissions and removals from land use and land-use change activities. While specific land use data for the mkzlhzxgik supply chain and production was not provided, its application would involve:</w:t>
      </w:r>
    </w:p>
    <w:p>
      <w:pPr>
        <w:numPr>
          <w:ilvl w:val="0"/>
          <w:numId w:val="1010"/>
        </w:numPr>
        <w:pStyle w:val="Compact"/>
      </w:pPr>
      <w:r>
        <w:t xml:space="preserve">Assessing land-use changes associated with raw material sourcing (e.g., deforestation for specific materials).</w:t>
      </w:r>
    </w:p>
    <w:p>
      <w:pPr>
        <w:numPr>
          <w:ilvl w:val="0"/>
          <w:numId w:val="1010"/>
        </w:numPr>
        <w:pStyle w:val="Compact"/>
      </w:pPr>
      <w:r>
        <w:t xml:space="preserve">Quantifying carbon removals through bioenergy with carbon capture and storage (BECCS) or direct air capture (DAC) if relevant to the product\'s lifecycle or offsetting strategies.</w:t>
      </w:r>
    </w:p>
    <w:p>
      <w:pPr>
        <w:numPr>
          <w:ilvl w:val="0"/>
          <w:numId w:val="1010"/>
        </w:numPr>
        <w:pStyle w:val="Compact"/>
      </w:pPr>
      <w:r>
        <w:t xml:space="preserve">Ensuring transparent reporting of both emissions and removals from the land sector, distinguishing between gross and net impacts.</w:t>
      </w:r>
    </w:p>
    <w:p>
      <w:pPr>
        <w:pStyle w:val="FirstParagraph"/>
      </w:pPr>
      <w:r>
        <w:t xml:space="preserve">For this report, without specific LSR data, the methodology conceptually acknowledges the standard and assumes that any significant land-use impacts from primary production of materials would be embedded within the provided material emission factors.</w:t>
      </w:r>
    </w:p>
    <w:p>
      <w:r>
        <w:pict>
          <v:rect style="width:0;height:1.5pt" o:hralign="center" o:hrstd="t" o:hr="t"/>
        </w:pict>
      </w:r>
    </w:p>
    <w:bookmarkEnd w:id="36"/>
    <w:bookmarkEnd w:id="37"/>
    <w:bookmarkStart w:id="43" w:name="calculate-emissions"/>
    <w:p>
      <w:pPr>
        <w:pStyle w:val="Heading2"/>
      </w:pPr>
      <w:r>
        <w:t xml:space="preserve">5. Calculate Emissions</w:t>
      </w:r>
    </w:p>
    <w:p>
      <w:pPr>
        <w:pStyle w:val="FirstParagraph"/>
      </w:pPr>
      <w:r>
        <w:t xml:space="preserve">Based on the data collected and the methodologies applied, the following emissions are calculated for each stage of mkzlhzxgik\'s lifecycle, categorized by GHG Protocol Scopes.</w:t>
      </w:r>
    </w:p>
    <w:bookmarkStart w:id="38" w:name="X0f752af40d55d30f8220ca7ccb23ffa2acbc78e"/>
    <w:p>
      <w:pPr>
        <w:pStyle w:val="Heading3"/>
      </w:pPr>
      <w:r>
        <w:t xml:space="preserve">5.1. Emission Factors Used (Illustrative Examples)</w:t>
      </w:r>
    </w:p>
    <w:p>
      <w:pPr>
        <w:numPr>
          <w:ilvl w:val="0"/>
          <w:numId w:val="1011"/>
        </w:numPr>
        <w:pStyle w:val="Compact"/>
      </w:pPr>
      <w:r>
        <w:rPr>
          <w:bCs/>
          <w:b/>
        </w:rPr>
        <w:t xml:space="preserve">Electricity (China Grid):</w:t>
      </w:r>
      <w:r>
        <w:t xml:space="preserve"> </w:t>
      </w:r>
      <w:r>
        <w:t xml:space="preserve">0.6 kgCO2e/kWh</w:t>
      </w:r>
    </w:p>
    <w:p>
      <w:pPr>
        <w:numPr>
          <w:ilvl w:val="0"/>
          <w:numId w:val="1011"/>
        </w:numPr>
        <w:pStyle w:val="Compact"/>
      </w:pPr>
      <w:r>
        <w:rPr>
          <w:bCs/>
          <w:b/>
        </w:rPr>
        <w:t xml:space="preserve">Electricity (European Average):</w:t>
      </w:r>
      <w:r>
        <w:t xml:space="preserve"> </w:t>
      </w:r>
      <w:r>
        <w:t xml:space="preserve">0.27 kgCO2e/kWh</w:t>
      </w:r>
    </w:p>
    <w:p>
      <w:pPr>
        <w:numPr>
          <w:ilvl w:val="0"/>
          <w:numId w:val="1011"/>
        </w:numPr>
        <w:pStyle w:val="Compact"/>
      </w:pPr>
      <w:r>
        <w:rPr>
          <w:bCs/>
          <w:b/>
        </w:rPr>
        <w:t xml:space="preserve">Ocean Freight:</w:t>
      </w:r>
      <w:r>
        <w:t xml:space="preserve"> </w:t>
      </w:r>
      <w:r>
        <w:t xml:space="preserve">0.01 kgCO2e/tkm</w:t>
      </w:r>
    </w:p>
    <w:p>
      <w:pPr>
        <w:numPr>
          <w:ilvl w:val="0"/>
          <w:numId w:val="1011"/>
        </w:numPr>
        <w:pStyle w:val="Compact"/>
      </w:pPr>
      <w:r>
        <w:rPr>
          <w:bCs/>
          <w:b/>
        </w:rPr>
        <w:t xml:space="preserve">Road Freight (Heavy Duty Truck):</w:t>
      </w:r>
      <w:r>
        <w:t xml:space="preserve"> </w:t>
      </w:r>
      <w:r>
        <w:t xml:space="preserve">0.1 kgCO2e/tkm</w:t>
      </w:r>
    </w:p>
    <w:p>
      <w:pPr>
        <w:numPr>
          <w:ilvl w:val="0"/>
          <w:numId w:val="1011"/>
        </w:numPr>
        <w:pStyle w:val="Compact"/>
      </w:pPr>
      <w:r>
        <w:rPr>
          <w:bCs/>
          <w:b/>
        </w:rPr>
        <w:t xml:space="preserve">Road Freight (Light Commercial Van):</w:t>
      </w:r>
      <w:r>
        <w:t xml:space="preserve"> </w:t>
      </w:r>
      <w:r>
        <w:t xml:space="preserve">0.2 kgCO2e/tkm</w:t>
      </w:r>
    </w:p>
    <w:p>
      <w:pPr>
        <w:numPr>
          <w:ilvl w:val="0"/>
          <w:numId w:val="1011"/>
        </w:numPr>
        <w:pStyle w:val="Compact"/>
      </w:pPr>
      <w:r>
        <w:rPr>
          <w:bCs/>
          <w:b/>
        </w:rPr>
        <w:t xml:space="preserve">Plastic (ABS):</w:t>
      </w:r>
      <w:r>
        <w:t xml:space="preserve"> </w:t>
      </w:r>
      <w:r>
        <w:t xml:space="preserve">3.0 kgCO2e/kg</w:t>
      </w:r>
    </w:p>
    <w:p>
      <w:pPr>
        <w:numPr>
          <w:ilvl w:val="0"/>
          <w:numId w:val="1011"/>
        </w:numPr>
        <w:pStyle w:val="Compact"/>
      </w:pPr>
      <w:r>
        <w:rPr>
          <w:bCs/>
          <w:b/>
        </w:rPr>
        <w:t xml:space="preserve">Lithium-ion Battery:</w:t>
      </w:r>
      <w:r>
        <w:t xml:space="preserve"> </w:t>
      </w:r>
      <w:r>
        <w:t xml:space="preserve">15.0 kgCO2e/kg</w:t>
      </w:r>
    </w:p>
    <w:p>
      <w:pPr>
        <w:numPr>
          <w:ilvl w:val="0"/>
          <w:numId w:val="1011"/>
        </w:numPr>
        <w:pStyle w:val="Compact"/>
      </w:pPr>
      <w:r>
        <w:rPr>
          <w:bCs/>
          <w:b/>
        </w:rPr>
        <w:t xml:space="preserve">Microcontroller:</w:t>
      </w:r>
      <w:r>
        <w:t xml:space="preserve"> </w:t>
      </w:r>
      <w:r>
        <w:t xml:space="preserve">0.5 kgCO2e/unit</w:t>
      </w:r>
    </w:p>
    <w:p>
      <w:pPr>
        <w:numPr>
          <w:ilvl w:val="0"/>
          <w:numId w:val="1011"/>
        </w:numPr>
        <w:pStyle w:val="Compact"/>
      </w:pPr>
      <w:r>
        <w:rPr>
          <w:bCs/>
          <w:b/>
        </w:rPr>
        <w:t xml:space="preserve">PCB:</w:t>
      </w:r>
      <w:r>
        <w:t xml:space="preserve"> </w:t>
      </w:r>
      <w:r>
        <w:t xml:space="preserve">0.2 kgCO2e/unit</w:t>
      </w:r>
    </w:p>
    <w:p>
      <w:pPr>
        <w:numPr>
          <w:ilvl w:val="0"/>
          <w:numId w:val="1011"/>
        </w:numPr>
        <w:pStyle w:val="Compact"/>
      </w:pPr>
      <w:r>
        <w:rPr>
          <w:bCs/>
          <w:b/>
        </w:rPr>
        <w:t xml:space="preserve">Copper:</w:t>
      </w:r>
      <w:r>
        <w:t xml:space="preserve"> </w:t>
      </w:r>
      <w:r>
        <w:t xml:space="preserve">2.5 kgCO2e/kg</w:t>
      </w:r>
    </w:p>
    <w:p>
      <w:pPr>
        <w:numPr>
          <w:ilvl w:val="0"/>
          <w:numId w:val="1011"/>
        </w:numPr>
        <w:pStyle w:val="Compact"/>
      </w:pPr>
      <w:r>
        <w:rPr>
          <w:bCs/>
          <w:b/>
        </w:rPr>
        <w:t xml:space="preserve">Cardboard:</w:t>
      </w:r>
      <w:r>
        <w:t xml:space="preserve"> </w:t>
      </w:r>
      <w:r>
        <w:t xml:space="preserve">1.5 kgCO2e/kg</w:t>
      </w:r>
    </w:p>
    <w:p>
      <w:pPr>
        <w:numPr>
          <w:ilvl w:val="0"/>
          <w:numId w:val="1011"/>
        </w:numPr>
        <w:pStyle w:val="Compact"/>
      </w:pPr>
      <w:r>
        <w:rPr>
          <w:bCs/>
          <w:b/>
        </w:rPr>
        <w:t xml:space="preserve">Landfill Disposal:</w:t>
      </w:r>
      <w:r>
        <w:t xml:space="preserve"> </w:t>
      </w:r>
      <w:r>
        <w:t xml:space="preserve">1.0 kgCO2e/kg</w:t>
      </w:r>
    </w:p>
    <w:bookmarkEnd w:id="38"/>
    <w:bookmarkStart w:id="42" w:name="emissions-by-lifecycle-stage-and-scope"/>
    <w:p>
      <w:pPr>
        <w:pStyle w:val="Heading3"/>
      </w:pPr>
      <w:r>
        <w:t xml:space="preserve">5.2. Emissions by Lifecycle Stage and Scope</w:t>
      </w:r>
    </w:p>
    <w:bookmarkStart w:id="39" w:name="manufacturing-phase-factory-gate---china"/>
    <w:p>
      <w:pPr>
        <w:pStyle w:val="Heading4"/>
      </w:pPr>
      <w:r>
        <w:t xml:space="preserve">Manufacturing Phase (Factory Gate - China)</w:t>
      </w:r>
    </w:p>
    <w:p>
      <w:pPr>
        <w:numPr>
          <w:ilvl w:val="0"/>
          <w:numId w:val="1012"/>
        </w:numPr>
        <w:pStyle w:val="Compact"/>
      </w:pPr>
      <w:r>
        <w:rPr>
          <w:bCs/>
          <w:b/>
        </w:rPr>
        <w:t xml:space="preserve">Total Energy Consumption:</w:t>
      </w:r>
      <w:r>
        <w:t xml:space="preserve"> </w:t>
      </w:r>
      <w:r>
        <w:t xml:space="preserve">2.5 kWh/unit</w:t>
      </w:r>
    </w:p>
    <w:p>
      <w:pPr>
        <w:numPr>
          <w:ilvl w:val="0"/>
          <w:numId w:val="1012"/>
        </w:numPr>
        <w:pStyle w:val="Compact"/>
      </w:pPr>
      <w:r>
        <w:rPr>
          <w:bCs/>
          <w:b/>
        </w:rPr>
        <w:t xml:space="preserve">Renewable Energy Usage:</w:t>
      </w:r>
      <w:r>
        <w:t xml:space="preserve"> </w:t>
      </w:r>
      <w:r>
        <w:t xml:space="preserve">40% (2.5 kWh * 0.4 = 1.0 kWh renewable)</w:t>
      </w:r>
    </w:p>
    <w:p>
      <w:pPr>
        <w:numPr>
          <w:ilvl w:val="0"/>
          <w:numId w:val="1012"/>
        </w:numPr>
        <w:pStyle w:val="Compact"/>
      </w:pPr>
      <w:r>
        <w:rPr>
          <w:bCs/>
          <w:b/>
        </w:rPr>
        <w:t xml:space="preserve">Non-Renewable Energy Usage:</w:t>
      </w:r>
      <w:r>
        <w:t xml:space="preserve"> </w:t>
      </w:r>
      <w:r>
        <w:t xml:space="preserve">60% (2.5 kWh * 0.6 = 1.5 kWh non-renewable)</w:t>
      </w:r>
    </w:p>
    <w:p>
      <w:pPr>
        <w:numPr>
          <w:ilvl w:val="0"/>
          <w:numId w:val="1012"/>
        </w:numPr>
        <w:pStyle w:val="Compact"/>
      </w:pPr>
      <w:r>
        <w:rPr>
          <w:bCs/>
          <w:b/>
        </w:rPr>
        <w:t xml:space="preserve">Scope 2 Emissions (Purchased Electricity):</w:t>
      </w:r>
      <w:r>
        <w:t xml:space="preserve"> </w:t>
      </w:r>
      <w:r>
        <w:t xml:space="preserve">1.5 kWh * 0.6 kgCO2e/kWh = 0.9 kgCO2e</w:t>
      </w:r>
    </w:p>
    <w:p>
      <w:pPr>
        <w:numPr>
          <w:ilvl w:val="0"/>
          <w:numId w:val="1012"/>
        </w:numPr>
        <w:pStyle w:val="Compact"/>
      </w:pPr>
      <w:r>
        <w:rPr>
          <w:bCs/>
          <w:b/>
        </w:rPr>
        <w:t xml:space="preserve">Scope 1 Emissions:</w:t>
      </w:r>
      <w:r>
        <w:t xml:space="preserve"> </w:t>
      </w:r>
      <w:r>
        <w:t xml:space="preserve">Assumed 0 kgCO2e (negligible direct fuel combustion at factory).</w:t>
      </w:r>
    </w:p>
    <w:p>
      <w:pPr>
        <w:pStyle w:val="FirstParagraph"/>
      </w:pPr>
      <w:r>
        <w:rPr>
          <w:bCs/>
          <w:b/>
        </w:rPr>
        <w:t xml:space="preserve">Total Manufacturing Footprint (Scope 1 &amp; 2):</w:t>
      </w:r>
      <w:r>
        <w:t xml:space="preserve"> </w:t>
      </w:r>
      <w:r>
        <w:t xml:space="preserve">0.9 kgCO2e</w:t>
      </w:r>
    </w:p>
    <w:bookmarkEnd w:id="39"/>
    <w:bookmarkStart w:id="40" w:name="X8c20e1a91d16b315621b0fc450e53372c216252"/>
    <w:p>
      <w:pPr>
        <w:pStyle w:val="Heading4"/>
      </w:pPr>
      <w:r>
        <w:t xml:space="preserve">Summary of Emissions by Scope for 1.0 unit of mkzlhzxgik:</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Lifecycle Stage</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Total CO2e (kg)</w:t>
            </w:r>
          </w:p>
        </w:tc>
        <w:tc>
          <w:tcPr/>
          <w:p>
            <w:pPr>
              <w:pStyle w:val="Compact"/>
              <w:jc w:val="left"/>
            </w:pPr>
            <w:r>
              <w:t xml:space="preserve">GHG Scope</w:t>
            </w:r>
          </w:p>
        </w:tc>
      </w:tr>
      <w:tr>
        <w:tc>
          <w:tcPr/>
          <w:p>
            <w:pPr>
              <w:pStyle w:val="Compact"/>
              <w:jc w:val="left"/>
            </w:pPr>
            <w:r>
              <w:t xml:space="preserve">Raw Material Acquisition &amp; Processing</w:t>
            </w:r>
          </w:p>
        </w:tc>
        <w:tc>
          <w:tcPr/>
          <w:p>
            <w:pPr>
              <w:pStyle w:val="Compact"/>
              <w:jc w:val="left"/>
            </w:pPr>
            <w:r>
              <w:t xml:space="preserve">(from BOM)</w:t>
            </w:r>
          </w:p>
        </w:tc>
        <w:tc>
          <w:tcPr/>
          <w:p>
            <w:pPr>
              <w:pStyle w:val="Compact"/>
              <w:jc w:val="left"/>
            </w:pPr>
            <w:r>
              <w:t xml:space="preserve">(various)</w:t>
            </w:r>
          </w:p>
        </w:tc>
        <w:tc>
          <w:tcPr/>
          <w:p>
            <w:pPr>
              <w:pStyle w:val="Compact"/>
              <w:jc w:val="left"/>
            </w:pPr>
            <w:r>
              <w:t xml:space="preserve">1.325</w:t>
            </w:r>
          </w:p>
        </w:tc>
        <w:tc>
          <w:tcPr/>
          <w:p>
            <w:pPr>
              <w:pStyle w:val="Compact"/>
              <w:jc w:val="left"/>
            </w:pPr>
            <w:r>
              <w:t xml:space="preserve">Scope 3 (Upstream)</w:t>
            </w:r>
          </w:p>
        </w:tc>
      </w:tr>
      <w:tr>
        <w:tc>
          <w:tcPr/>
          <w:p>
            <w:pPr>
              <w:pStyle w:val="Compact"/>
              <w:jc w:val="left"/>
            </w:pPr>
            <w:r>
              <w:t xml:space="preserve">Manufacturing (Scope 1)</w:t>
            </w:r>
          </w:p>
        </w:tc>
        <w:tc>
          <w:tcPr/>
          <w:p>
            <w:pPr>
              <w:pStyle w:val="Compact"/>
              <w:jc w:val="left"/>
            </w:pPr>
            <w:r>
              <w:t xml:space="preserve">Direct Combustion</w:t>
            </w:r>
          </w:p>
        </w:tc>
        <w:tc>
          <w:tcPr/>
          <w:p>
            <w:pPr>
              <w:pStyle w:val="Compact"/>
              <w:jc w:val="left"/>
            </w:pPr>
            <w:r>
              <w:t xml:space="preserve">-</w:t>
            </w:r>
          </w:p>
        </w:tc>
        <w:tc>
          <w:tcPr/>
          <w:p>
            <w:pPr>
              <w:pStyle w:val="Compact"/>
              <w:jc w:val="left"/>
            </w:pPr>
            <w:r>
              <w:t xml:space="preserve">0.000</w:t>
            </w:r>
          </w:p>
        </w:tc>
        <w:tc>
          <w:tcPr/>
          <w:p>
            <w:pPr>
              <w:pStyle w:val="Compact"/>
              <w:jc w:val="left"/>
            </w:pPr>
            <w:r>
              <w:t xml:space="preserve">Scope 1</w:t>
            </w:r>
          </w:p>
        </w:tc>
      </w:tr>
      <w:tr>
        <w:tc>
          <w:tcPr/>
          <w:p>
            <w:pPr>
              <w:pStyle w:val="Compact"/>
              <w:jc w:val="left"/>
            </w:pPr>
            <w:r>
              <w:t xml:space="preserve">Manufacturing (Scope 2)</w:t>
            </w:r>
          </w:p>
        </w:tc>
        <w:tc>
          <w:tcPr/>
          <w:p>
            <w:pPr>
              <w:pStyle w:val="Compact"/>
              <w:jc w:val="left"/>
            </w:pPr>
            <w:r>
              <w:t xml:space="preserve">1.5 kWh (non-renewable)</w:t>
            </w:r>
          </w:p>
        </w:tc>
        <w:tc>
          <w:tcPr/>
          <w:p>
            <w:pPr>
              <w:pStyle w:val="Compact"/>
              <w:jc w:val="left"/>
            </w:pPr>
            <w:r>
              <w:t xml:space="preserve">0.6 kgCO2e/kWh</w:t>
            </w:r>
          </w:p>
        </w:tc>
        <w:tc>
          <w:tcPr/>
          <w:p>
            <w:pPr>
              <w:pStyle w:val="Compact"/>
              <w:jc w:val="left"/>
            </w:pPr>
            <w:r>
              <w:t xml:space="preserve">0.900</w:t>
            </w:r>
          </w:p>
        </w:tc>
        <w:tc>
          <w:tcPr/>
          <w:p>
            <w:pPr>
              <w:pStyle w:val="Compact"/>
              <w:jc w:val="left"/>
            </w:pPr>
            <w:r>
              <w:t xml:space="preserve">Scope 2</w:t>
            </w:r>
          </w:p>
        </w:tc>
      </w:tr>
      <w:tr>
        <w:tc>
          <w:tcPr/>
          <w:p>
            <w:pPr>
              <w:pStyle w:val="Compact"/>
              <w:jc w:val="left"/>
            </w:pPr>
            <w:r>
              <w:t xml:space="preserve">Transportation (Upstream - Ocean)</w:t>
            </w:r>
          </w:p>
        </w:tc>
        <w:tc>
          <w:tcPr/>
          <w:p>
            <w:pPr>
              <w:pStyle w:val="Compact"/>
              <w:jc w:val="left"/>
            </w:pPr>
            <w:r>
              <w:t xml:space="preserve">0.2 kg @ 15,000 km</w:t>
            </w:r>
          </w:p>
        </w:tc>
        <w:tc>
          <w:tcPr/>
          <w:p>
            <w:pPr>
              <w:pStyle w:val="Compact"/>
              <w:jc w:val="left"/>
            </w:pPr>
            <w:r>
              <w:t xml:space="preserve">0.01 kgCO2e/tkm</w:t>
            </w:r>
          </w:p>
        </w:tc>
        <w:tc>
          <w:tcPr/>
          <w:p>
            <w:pPr>
              <w:pStyle w:val="Compact"/>
              <w:jc w:val="left"/>
            </w:pPr>
            <w:r>
              <w:t xml:space="preserve">0.030</w:t>
            </w:r>
          </w:p>
        </w:tc>
        <w:tc>
          <w:tcPr/>
          <w:p>
            <w:pPr>
              <w:pStyle w:val="Compact"/>
              <w:jc w:val="left"/>
            </w:pPr>
            <w:r>
              <w:t xml:space="preserve">Scope 3 (Upstream)</w:t>
            </w:r>
          </w:p>
        </w:tc>
      </w:tr>
      <w:tr>
        <w:tc>
          <w:tcPr/>
          <w:p>
            <w:pPr>
              <w:pStyle w:val="Compact"/>
              <w:jc w:val="left"/>
            </w:pPr>
            <w:r>
              <w:t xml:space="preserve">Transportation (Upstream - Road to Port)</w:t>
            </w:r>
          </w:p>
        </w:tc>
        <w:tc>
          <w:tcPr/>
          <w:p>
            <w:pPr>
              <w:pStyle w:val="Compact"/>
              <w:jc w:val="left"/>
            </w:pPr>
            <w:r>
              <w:t xml:space="preserve">0.2 kg @ 200 km</w:t>
            </w:r>
          </w:p>
        </w:tc>
        <w:tc>
          <w:tcPr/>
          <w:p>
            <w:pPr>
              <w:pStyle w:val="Compact"/>
              <w:jc w:val="left"/>
            </w:pPr>
            <w:r>
              <w:t xml:space="preserve">0.1 kgCO2e/tkm</w:t>
            </w:r>
          </w:p>
        </w:tc>
        <w:tc>
          <w:tcPr/>
          <w:p>
            <w:pPr>
              <w:pStyle w:val="Compact"/>
              <w:jc w:val="left"/>
            </w:pPr>
            <w:r>
              <w:t xml:space="preserve">0.004</w:t>
            </w:r>
          </w:p>
        </w:tc>
        <w:tc>
          <w:tcPr/>
          <w:p>
            <w:pPr>
              <w:pStyle w:val="Compact"/>
              <w:jc w:val="left"/>
            </w:pPr>
            <w:r>
              <w:t xml:space="preserve">Scope 3 (Upstream)</w:t>
            </w:r>
          </w:p>
        </w:tc>
      </w:tr>
      <w:tr>
        <w:tc>
          <w:tcPr/>
          <w:p>
            <w:pPr>
              <w:pStyle w:val="Compact"/>
              <w:jc w:val="left"/>
            </w:pPr>
            <w:r>
              <w:t xml:space="preserve">Transportation (Downstream - Last Mile)</w:t>
            </w:r>
          </w:p>
        </w:tc>
        <w:tc>
          <w:tcPr/>
          <w:p>
            <w:pPr>
              <w:pStyle w:val="Compact"/>
              <w:jc w:val="left"/>
            </w:pPr>
            <w:r>
              <w:t xml:space="preserve">0.2 kg @ 500 km</w:t>
            </w:r>
          </w:p>
        </w:tc>
        <w:tc>
          <w:tcPr/>
          <w:p>
            <w:pPr>
              <w:pStyle w:val="Compact"/>
              <w:jc w:val="left"/>
            </w:pPr>
            <w:r>
              <w:t xml:space="preserve">0.2 kgCO2e/tkm</w:t>
            </w:r>
          </w:p>
        </w:tc>
        <w:tc>
          <w:tcPr/>
          <w:p>
            <w:pPr>
              <w:pStyle w:val="Compact"/>
              <w:jc w:val="left"/>
            </w:pPr>
            <w:r>
              <w:t xml:space="preserve">0.020</w:t>
            </w:r>
          </w:p>
        </w:tc>
        <w:tc>
          <w:tcPr/>
          <w:p>
            <w:pPr>
              <w:pStyle w:val="Compact"/>
              <w:jc w:val="left"/>
            </w:pPr>
            <w:r>
              <w:t xml:space="preserve">Scope 3 (Downstream)</w:t>
            </w:r>
          </w:p>
        </w:tc>
      </w:tr>
      <w:tr>
        <w:tc>
          <w:tcPr/>
          <w:p>
            <w:pPr>
              <w:pStyle w:val="Compact"/>
              <w:jc w:val="left"/>
            </w:pPr>
            <w:r>
              <w:t xml:space="preserve">Use Phase</w:t>
            </w:r>
          </w:p>
        </w:tc>
        <w:tc>
          <w:tcPr/>
          <w:p>
            <w:pPr>
              <w:pStyle w:val="Compact"/>
              <w:jc w:val="left"/>
            </w:pPr>
            <w:r>
              <w:t xml:space="preserve">25 kWh over 5 years</w:t>
            </w:r>
          </w:p>
        </w:tc>
        <w:tc>
          <w:tcPr/>
          <w:p>
            <w:pPr>
              <w:pStyle w:val="Compact"/>
              <w:jc w:val="left"/>
            </w:pPr>
            <w:r>
              <w:t xml:space="preserve">0.27 kgCO2e/kWh</w:t>
            </w:r>
          </w:p>
        </w:tc>
        <w:tc>
          <w:tcPr/>
          <w:p>
            <w:pPr>
              <w:pStyle w:val="Compact"/>
              <w:jc w:val="left"/>
            </w:pPr>
            <w:r>
              <w:t xml:space="preserve">6.750</w:t>
            </w:r>
          </w:p>
        </w:tc>
        <w:tc>
          <w:tcPr/>
          <w:p>
            <w:pPr>
              <w:pStyle w:val="Compact"/>
              <w:jc w:val="left"/>
            </w:pPr>
            <w:r>
              <w:t xml:space="preserve">Scope 3 (Downstream)</w:t>
            </w:r>
          </w:p>
        </w:tc>
      </w:tr>
      <w:tr>
        <w:tc>
          <w:tcPr/>
          <w:p>
            <w:pPr>
              <w:pStyle w:val="Compact"/>
              <w:jc w:val="left"/>
            </w:pPr>
            <w:r>
              <w:t xml:space="preserve">End-of-Life (Disposal)</w:t>
            </w:r>
          </w:p>
        </w:tc>
        <w:tc>
          <w:tcPr/>
          <w:p>
            <w:pPr>
              <w:pStyle w:val="Compact"/>
              <w:jc w:val="left"/>
            </w:pPr>
            <w:r>
              <w:t xml:space="preserve">0.15 kg disposed</w:t>
            </w:r>
          </w:p>
        </w:tc>
        <w:tc>
          <w:tcPr/>
          <w:p>
            <w:pPr>
              <w:pStyle w:val="Compact"/>
              <w:jc w:val="left"/>
            </w:pPr>
            <w:r>
              <w:t xml:space="preserve">1.0 kgCO2e/kg</w:t>
            </w:r>
          </w:p>
        </w:tc>
        <w:tc>
          <w:tcPr/>
          <w:p>
            <w:pPr>
              <w:pStyle w:val="Compact"/>
              <w:jc w:val="left"/>
            </w:pPr>
            <w:r>
              <w:t xml:space="preserve">0.150</w:t>
            </w:r>
          </w:p>
        </w:tc>
        <w:tc>
          <w:tcPr/>
          <w:p>
            <w:pPr>
              <w:pStyle w:val="Compact"/>
              <w:jc w:val="left"/>
            </w:pPr>
            <w:r>
              <w:t xml:space="preserve">Scope 3 (Downstream)</w:t>
            </w:r>
          </w:p>
        </w:tc>
      </w:tr>
      <w:tr>
        <w:tc>
          <w:tcPr/>
          <w:p>
            <w:pPr>
              <w:pStyle w:val="Compact"/>
              <w:jc w:val="left"/>
            </w:pPr>
            <w:r>
              <w:t xml:space="preserve">End-of-Life (Recycling Credit)</w:t>
            </w:r>
          </w:p>
        </w:tc>
        <w:tc>
          <w:tcPr/>
          <w:p>
            <w:pPr>
              <w:pStyle w:val="Compact"/>
              <w:jc w:val="left"/>
            </w:pPr>
            <w:r>
              <w:t xml:space="preserve">0.35 kg recycled</w:t>
            </w:r>
          </w:p>
        </w:tc>
        <w:tc>
          <w:tcPr/>
          <w:p>
            <w:pPr>
              <w:pStyle w:val="Compact"/>
              <w:jc w:val="left"/>
            </w:pPr>
            <w:r>
              <w:t xml:space="preserve">-0.5*Virgin Impact Factor</w:t>
            </w:r>
          </w:p>
        </w:tc>
        <w:tc>
          <w:tcPr/>
          <w:p>
            <w:pPr>
              <w:pStyle w:val="Compact"/>
              <w:jc w:val="left"/>
            </w:pPr>
            <w:r>
              <w:t xml:space="preserve">-0.410</w:t>
            </w:r>
          </w:p>
        </w:tc>
        <w:tc>
          <w:tcPr/>
          <w:p>
            <w:pPr>
              <w:pStyle w:val="Compact"/>
              <w:jc w:val="left"/>
            </w:pPr>
            <w:r>
              <w:t xml:space="preserve">Scope 3 (Downstream)</w:t>
            </w:r>
          </w:p>
        </w:tc>
      </w:tr>
      <w:tr>
        <w:tc>
          <w:tcPr>
            <w:gridSpan w:val="3"/>
          </w:tcPr>
          <w:p>
            <w:pPr>
              <w:pStyle w:val="Compact"/>
              <w:jc w:val="right"/>
            </w:pPr>
            <w:r>
              <w:rPr>
                <w:bCs/>
                <w:b/>
              </w:rPr>
              <w:t xml:space="preserve">Total Product Carbon Footprint:</w:t>
            </w:r>
          </w:p>
        </w:tc>
        <w:tc>
          <w:tcPr/>
          <w:p>
            <w:pPr>
              <w:pStyle w:val="Compact"/>
              <w:jc w:val="left"/>
            </w:pPr>
            <w:r>
              <w:rPr>
                <w:bCs/>
                <w:b/>
              </w:rPr>
              <w:t xml:space="preserve">8.769</w:t>
            </w:r>
          </w:p>
        </w:tc>
        <w:tc>
          <w:tcPr/>
          <w:p>
            <w:pPr>
              <w:pStyle w:val="Compact"/>
            </w:pPr>
          </w:p>
        </w:tc>
      </w:tr>
    </w:tbl>
    <w:p>
      <w:pPr>
        <w:pStyle w:val="BodyText"/>
      </w:pPr>
      <w:r>
        <w:rPr>
          <w:bCs/>
          <w:b/>
        </w:rPr>
        <w:t xml:space="preserve">Total PCF for 1.0 unit of mkzlhzxgik: 8.769 kgCO2e</w:t>
      </w:r>
    </w:p>
    <w:bookmarkEnd w:id="40"/>
    <w:bookmarkStart w:id="41" w:name="scope-wise-breakdown"/>
    <w:p>
      <w:pPr>
        <w:pStyle w:val="Heading4"/>
      </w:pPr>
      <w:r>
        <w:t xml:space="preserve">Scope-wise Breakdown:</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Total CO2e (kg)</w:t>
            </w:r>
          </w:p>
        </w:tc>
        <w:tc>
          <w:tcPr/>
          <w:p>
            <w:pPr>
              <w:pStyle w:val="Compact"/>
              <w:jc w:val="left"/>
            </w:pPr>
            <w:r>
              <w:t xml:space="preserve">Percentage of Total (%)</w:t>
            </w:r>
          </w:p>
        </w:tc>
      </w:tr>
      <w:tr>
        <w:tc>
          <w:tcPr/>
          <w:p>
            <w:pPr>
              <w:pStyle w:val="Compact"/>
              <w:jc w:val="left"/>
            </w:pPr>
            <w:r>
              <w:t xml:space="preserve">Scope 1</w:t>
            </w:r>
          </w:p>
        </w:tc>
        <w:tc>
          <w:tcPr/>
          <w:p>
            <w:pPr>
              <w:pStyle w:val="Compact"/>
              <w:jc w:val="left"/>
            </w:pPr>
            <w:r>
              <w:t xml:space="preserve">0.000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0.900</w:t>
            </w:r>
          </w:p>
        </w:tc>
        <w:tc>
          <w:tcPr/>
          <w:p>
            <w:pPr>
              <w:pStyle w:val="Compact"/>
              <w:jc w:val="left"/>
            </w:pPr>
            <w:r>
              <w:t xml:space="preserve">10.26%</w:t>
            </w:r>
          </w:p>
        </w:tc>
      </w:tr>
      <w:tr>
        <w:tc>
          <w:tcPr/>
          <w:p>
            <w:pPr>
              <w:pStyle w:val="Compact"/>
              <w:jc w:val="left"/>
            </w:pPr>
            <w:r>
              <w:t xml:space="preserve">Scope 3 (Upstream)</w:t>
            </w:r>
          </w:p>
        </w:tc>
        <w:tc>
          <w:tcPr/>
          <w:p>
            <w:pPr>
              <w:pStyle w:val="Compact"/>
              <w:jc w:val="left"/>
            </w:pPr>
            <w:r>
              <w:t xml:space="preserve">1.325 + 0.030 + 0.004 = 1.359</w:t>
            </w:r>
          </w:p>
        </w:tc>
        <w:tc>
          <w:tcPr/>
          <w:p>
            <w:pPr>
              <w:pStyle w:val="Compact"/>
              <w:jc w:val="left"/>
            </w:pPr>
            <w:r>
              <w:t xml:space="preserve">15.50%</w:t>
            </w:r>
          </w:p>
        </w:tc>
      </w:tr>
      <w:tr>
        <w:tc>
          <w:tcPr/>
          <w:p>
            <w:pPr>
              <w:pStyle w:val="Compact"/>
              <w:jc w:val="left"/>
            </w:pPr>
            <w:r>
              <w:t xml:space="preserve">Scope 3 (Downstream)</w:t>
            </w:r>
          </w:p>
        </w:tc>
        <w:tc>
          <w:tcPr/>
          <w:p>
            <w:pPr>
              <w:pStyle w:val="Compact"/>
              <w:jc w:val="left"/>
            </w:pPr>
            <w:r>
              <w:t xml:space="preserve">0.020 + 6.750 + 0.150 - 0.410 = 6.510</w:t>
            </w:r>
          </w:p>
        </w:tc>
        <w:tc>
          <w:tcPr/>
          <w:p>
            <w:pPr>
              <w:pStyle w:val="Compact"/>
              <w:jc w:val="left"/>
            </w:pPr>
            <w:r>
              <w:t xml:space="preserve">74.24%</w:t>
            </w:r>
          </w:p>
        </w:tc>
      </w:tr>
      <w:tr>
        <w:tc>
          <w:tcPr/>
          <w:p>
            <w:pPr>
              <w:pStyle w:val="Compact"/>
              <w:jc w:val="left"/>
            </w:pPr>
            <w:r>
              <w:rPr>
                <w:bCs/>
                <w:b/>
              </w:rPr>
              <w:t xml:space="preserve">Total</w:t>
            </w:r>
          </w:p>
        </w:tc>
        <w:tc>
          <w:tcPr/>
          <w:p>
            <w:pPr>
              <w:pStyle w:val="Compact"/>
              <w:jc w:val="left"/>
            </w:pPr>
            <w:r>
              <w:rPr>
                <w:bCs/>
                <w:b/>
              </w:rPr>
              <w:t xml:space="preserve">8.769</w:t>
            </w:r>
          </w:p>
        </w:tc>
        <w:tc>
          <w:tcPr/>
          <w:p>
            <w:pPr>
              <w:pStyle w:val="Compact"/>
              <w:jc w:val="left"/>
            </w:pPr>
            <w:r>
              <w:rPr>
                <w:bCs/>
                <w:b/>
              </w:rPr>
              <w:t xml:space="preserve">100.00%</w:t>
            </w:r>
          </w:p>
        </w:tc>
      </w:tr>
    </w:tbl>
    <w:p>
      <w:pPr>
        <w:pStyle w:val="BodyText"/>
      </w:pPr>
      <w:r>
        <w:rPr>
          <w:bCs/>
          <w:b/>
        </w:rPr>
        <w:t xml:space="preserve">Scope 3 Coverage:</w:t>
      </w:r>
      <w:r>
        <w:t xml:space="preserve"> </w:t>
      </w:r>
      <w:r>
        <w:t xml:space="preserve">(1.359 + 6.510) / 8.769 = 89.75%.</w:t>
      </w:r>
      <w:r>
        <w:br/>
      </w:r>
      <w:r>
        <w:t xml:space="preserve">*Note: The calculated Scope 3 coverage (89.75%) is slightly below the 95% target. This indicates that while significant value chain emissions have been considered, further detailed analysis in areas such as capital goods, employee commuting, or business travel might be necessary to reach the 95% threshold for a more complete Scope 3 compliance as per 2026 requirements.*</w:t>
      </w:r>
    </w:p>
    <w:p>
      <w:r>
        <w:pict>
          <v:rect style="width:0;height:1.5pt" o:hralign="center" o:hrstd="t" o:hr="t"/>
        </w:pict>
      </w:r>
    </w:p>
    <w:bookmarkEnd w:id="41"/>
    <w:bookmarkEnd w:id="42"/>
    <w:bookmarkEnd w:id="43"/>
    <w:bookmarkStart w:id="47" w:name="review-report"/>
    <w:p>
      <w:pPr>
        <w:pStyle w:val="Heading2"/>
      </w:pPr>
      <w:r>
        <w:t xml:space="preserve">6. Review &amp; Report</w:t>
      </w:r>
    </w:p>
    <w:bookmarkStart w:id="44" w:name="emission-hotspots"/>
    <w:p>
      <w:pPr>
        <w:pStyle w:val="Heading3"/>
      </w:pPr>
      <w:r>
        <w:t xml:space="preserve">6.1. Emission Hotspots</w:t>
      </w:r>
    </w:p>
    <w:p>
      <w:pPr>
        <w:pStyle w:val="FirstParagraph"/>
      </w:pPr>
      <w:r>
        <w:t xml:space="preserve">The analysis reveals the following major emission hotspots for mkzlhzxgik:</w:t>
      </w:r>
    </w:p>
    <w:p>
      <w:pPr>
        <w:numPr>
          <w:ilvl w:val="0"/>
          <w:numId w:val="1013"/>
        </w:numPr>
        <w:pStyle w:val="Compact"/>
      </w:pPr>
      <w:r>
        <w:rPr>
          <w:bCs/>
          <w:b/>
        </w:rPr>
        <w:t xml:space="preserve">Use Phase (74.24%):</w:t>
      </w:r>
      <w:r>
        <w:t xml:space="preserve"> </w:t>
      </w:r>
      <w:r>
        <w:t xml:space="preserve">By far the largest contributor due to the product\'s energy consumption over its 5-year lifespan. This highlights the critical importance of energy efficiency during the product\'s operational life.</w:t>
      </w:r>
    </w:p>
    <w:p>
      <w:pPr>
        <w:numPr>
          <w:ilvl w:val="0"/>
          <w:numId w:val="1013"/>
        </w:numPr>
        <w:pStyle w:val="Compact"/>
      </w:pPr>
      <w:r>
        <w:rPr>
          <w:bCs/>
          <w:b/>
        </w:rPr>
        <w:t xml:space="preserve">Raw Material Acquisition &amp; Processing (15.11%):</w:t>
      </w:r>
      <w:r>
        <w:t xml:space="preserve"> </w:t>
      </w:r>
      <w:r>
        <w:t xml:space="preserve">The embodied carbon in components, especially the microcontroller and lithium-ion battery, contributes significantly to the upstream footprint.</w:t>
      </w:r>
    </w:p>
    <w:p>
      <w:pPr>
        <w:numPr>
          <w:ilvl w:val="0"/>
          <w:numId w:val="1013"/>
        </w:numPr>
        <w:pStyle w:val="Compact"/>
      </w:pPr>
      <w:r>
        <w:rPr>
          <w:bCs/>
          <w:b/>
        </w:rPr>
        <w:t xml:space="preserve">Manufacturing (Scope 2 - 10.26%):</w:t>
      </w:r>
      <w:r>
        <w:t xml:space="preserve"> </w:t>
      </w:r>
      <w:r>
        <w:t xml:space="preserve">The purchased electricity for manufacturing, particularly the non-renewable portion of China\'s grid, is a notable contributor.</w:t>
      </w:r>
    </w:p>
    <w:p>
      <w:pPr>
        <w:numPr>
          <w:ilvl w:val="0"/>
          <w:numId w:val="1013"/>
        </w:numPr>
        <w:pStyle w:val="Compact"/>
      </w:pPr>
      <w:r>
        <w:rPr>
          <w:bCs/>
          <w:b/>
        </w:rPr>
        <w:t xml:space="preserve">End-of-Life (Net Credit):</w:t>
      </w:r>
      <w:r>
        <w:t xml:space="preserve"> </w:t>
      </w:r>
      <w:r>
        <w:t xml:space="preserve">The robust recyclability and take-back program provide a net carbon credit, demonstrating the positive impact of circular economy initiatives.</w:t>
      </w:r>
    </w:p>
    <w:bookmarkEnd w:id="44"/>
    <w:bookmarkStart w:id="45" w:name="reliability-and-limitations"/>
    <w:p>
      <w:pPr>
        <w:pStyle w:val="Heading3"/>
      </w:pPr>
      <w:r>
        <w:t xml:space="preserve">6.2. Reliability and Limitations</w:t>
      </w:r>
    </w:p>
    <w:p>
      <w:pPr>
        <w:pStyle w:val="FirstParagraph"/>
      </w:pPr>
      <w:r>
        <w:t xml:space="preserve">The reliability of this report is considered moderate due to the use of illustrative data for several key parameters.</w:t>
      </w:r>
    </w:p>
    <w:p>
      <w:pPr>
        <w:numPr>
          <w:ilvl w:val="0"/>
          <w:numId w:val="1014"/>
        </w:numPr>
        <w:pStyle w:val="Compact"/>
      </w:pPr>
      <w:r>
        <w:rPr>
          <w:bCs/>
          <w:b/>
        </w:rPr>
        <w:t xml:space="preserve">Data Inputs:</w:t>
      </w:r>
      <w:r>
        <w:t xml:space="preserve"> </w:t>
      </w:r>
      <w:r>
        <w:t xml:space="preserve">Specific values for BOM, transport distances, energy consumption, and circularity were placeholders. Using primary, company-specific data for these parameters would significantly enhance accuracy.</w:t>
      </w:r>
    </w:p>
    <w:p>
      <w:pPr>
        <w:numPr>
          <w:ilvl w:val="0"/>
          <w:numId w:val="1014"/>
        </w:numPr>
        <w:pStyle w:val="Compact"/>
      </w:pPr>
      <w:r>
        <w:rPr>
          <w:bCs/>
          <w:b/>
        </w:rPr>
        <w:t xml:space="preserve">Emission Factors:</w:t>
      </w:r>
      <w:r>
        <w:t xml:space="preserve"> </w:t>
      </w:r>
      <w:r>
        <w:t xml:space="preserve">While industry-standard emission factors (Ecoinvent/DEFRA equivalents) were assumed, their precision can vary. Country-specific and process-specific factors would improve accuracy.</w:t>
      </w:r>
    </w:p>
    <w:p>
      <w:pPr>
        <w:numPr>
          <w:ilvl w:val="0"/>
          <w:numId w:val="1014"/>
        </w:numPr>
        <w:pStyle w:val="Compact"/>
      </w:pPr>
      <w:r>
        <w:rPr>
          <w:bCs/>
          <w:b/>
        </w:rPr>
        <w:t xml:space="preserve">System Boundary:</w:t>
      </w:r>
      <w:r>
        <w:t xml:space="preserve"> </w:t>
      </w:r>
      <w:r>
        <w:t xml:space="preserve">While comprehensive for a "factory-gate" boundary including significant Scope 3, some minor Scope 3 categories might have been excluded, leading to the slight miss of the 95% target.</w:t>
      </w:r>
    </w:p>
    <w:p>
      <w:pPr>
        <w:numPr>
          <w:ilvl w:val="0"/>
          <w:numId w:val="1014"/>
        </w:numPr>
        <w:pStyle w:val="Compact"/>
      </w:pPr>
      <w:r>
        <w:rPr>
          <w:bCs/>
          <w:b/>
        </w:rPr>
        <w:t xml:space="preserve">LSR Application:</w:t>
      </w:r>
      <w:r>
        <w:t xml:space="preserve"> </w:t>
      </w:r>
      <w:r>
        <w:t xml:space="preserve">The LSR Standard was conceptually addressed due to the lack of specific land-use change data. Full implementation requires detailed land-based data.</w:t>
      </w:r>
    </w:p>
    <w:bookmarkEnd w:id="45"/>
    <w:bookmarkStart w:id="46" w:name="recommendations-for-emission-reduction"/>
    <w:p>
      <w:pPr>
        <w:pStyle w:val="Heading3"/>
      </w:pPr>
      <w:r>
        <w:t xml:space="preserve">6.3. Recommendations for Emission Reduction</w:t>
      </w:r>
    </w:p>
    <w:p>
      <w:pPr>
        <w:pStyle w:val="FirstParagraph"/>
      </w:pPr>
      <w:r>
        <w:t xml:space="preserve">Based on the identified hotspots, pqtfxrgdis can focus on the following strategies to reduce the PCF of mkzlhzxgik:</w:t>
      </w:r>
    </w:p>
    <w:p>
      <w:pPr>
        <w:numPr>
          <w:ilvl w:val="0"/>
          <w:numId w:val="1015"/>
        </w:numPr>
        <w:pStyle w:val="Compact"/>
      </w:pPr>
      <w:r>
        <w:rPr>
          <w:bCs/>
          <w:b/>
        </w:rPr>
        <w:t xml:space="preserve">Optimize Use Phase:</w:t>
      </w:r>
    </w:p>
    <w:p>
      <w:pPr>
        <w:numPr>
          <w:ilvl w:val="1"/>
          <w:numId w:val="1016"/>
        </w:numPr>
        <w:pStyle w:val="Compact"/>
      </w:pPr>
      <w:r>
        <w:t xml:space="preserve">Improve energy efficiency of the device (mkzlhzxgik) during operation.</w:t>
      </w:r>
    </w:p>
    <w:p>
      <w:pPr>
        <w:numPr>
          <w:ilvl w:val="1"/>
          <w:numId w:val="1016"/>
        </w:numPr>
        <w:pStyle w:val="Compact"/>
      </w:pPr>
      <w:r>
        <w:t xml:space="preserve">Explore opportunities for low-power modes or longer battery life.</w:t>
      </w:r>
    </w:p>
    <w:p>
      <w:pPr>
        <w:numPr>
          <w:ilvl w:val="1"/>
          <w:numId w:val="1016"/>
        </w:numPr>
        <w:pStyle w:val="Compact"/>
      </w:pPr>
      <w:r>
        <w:t xml:space="preserve">Educate users on efficient product usage.</w:t>
      </w:r>
    </w:p>
    <w:p>
      <w:pPr>
        <w:numPr>
          <w:ilvl w:val="0"/>
          <w:numId w:val="1015"/>
        </w:numPr>
        <w:pStyle w:val="Compact"/>
      </w:pPr>
      <w:r>
        <w:rPr>
          <w:bCs/>
          <w:b/>
        </w:rPr>
        <w:t xml:space="preserve">Green the Supply Chain:</w:t>
      </w:r>
    </w:p>
    <w:p>
      <w:pPr>
        <w:numPr>
          <w:ilvl w:val="1"/>
          <w:numId w:val="1017"/>
        </w:numPr>
        <w:pStyle w:val="Compact"/>
      </w:pPr>
      <w:r>
        <w:t xml:space="preserve">Engage with suppliers to source lower-carbon components and materials.</w:t>
      </w:r>
    </w:p>
    <w:p>
      <w:pPr>
        <w:numPr>
          <w:ilvl w:val="1"/>
          <w:numId w:val="1017"/>
        </w:numPr>
        <w:pStyle w:val="Compact"/>
      </w:pPr>
      <w:r>
        <w:t xml:space="preserve">Investigate alternative materials with lower embodied carbon.</w:t>
      </w:r>
    </w:p>
    <w:p>
      <w:pPr>
        <w:numPr>
          <w:ilvl w:val="1"/>
          <w:numId w:val="1017"/>
        </w:numPr>
        <w:pStyle w:val="Compact"/>
      </w:pPr>
      <w:r>
        <w:t xml:space="preserve">Explore options for using renewable energy in component manufacturing.</w:t>
      </w:r>
    </w:p>
    <w:p>
      <w:pPr>
        <w:numPr>
          <w:ilvl w:val="0"/>
          <w:numId w:val="1015"/>
        </w:numPr>
        <w:pStyle w:val="Compact"/>
      </w:pPr>
      <w:r>
        <w:rPr>
          <w:bCs/>
          <w:b/>
        </w:rPr>
        <w:t xml:space="preserve">Decarbonize Manufacturing:</w:t>
      </w:r>
    </w:p>
    <w:p>
      <w:pPr>
        <w:numPr>
          <w:ilvl w:val="1"/>
          <w:numId w:val="1018"/>
        </w:numPr>
        <w:pStyle w:val="Compact"/>
      </w:pPr>
      <w:r>
        <w:t xml:space="preserve">Increase the percentage of renewable energy used in the production facility in China beyond 40%.</w:t>
      </w:r>
    </w:p>
    <w:p>
      <w:pPr>
        <w:numPr>
          <w:ilvl w:val="1"/>
          <w:numId w:val="1018"/>
        </w:numPr>
        <w:pStyle w:val="Compact"/>
      </w:pPr>
      <w:r>
        <w:t xml:space="preserve">Invest in on-site renewable energy generation.</w:t>
      </w:r>
    </w:p>
    <w:p>
      <w:pPr>
        <w:numPr>
          <w:ilvl w:val="1"/>
          <w:numId w:val="1018"/>
        </w:numPr>
        <w:pStyle w:val="Compact"/>
      </w:pPr>
      <w:r>
        <w:t xml:space="preserve">Explore Power Purchase Agreements (PPAs) for certified renewable energy.</w:t>
      </w:r>
    </w:p>
    <w:p>
      <w:pPr>
        <w:numPr>
          <w:ilvl w:val="0"/>
          <w:numId w:val="1015"/>
        </w:numPr>
        <w:pStyle w:val="Compact"/>
      </w:pPr>
      <w:r>
        <w:rPr>
          <w:bCs/>
          <w:b/>
        </w:rPr>
        <w:t xml:space="preserve">Enhance Circularity:</w:t>
      </w:r>
    </w:p>
    <w:p>
      <w:pPr>
        <w:numPr>
          <w:ilvl w:val="1"/>
          <w:numId w:val="1019"/>
        </w:numPr>
        <w:pStyle w:val="Compact"/>
      </w:pPr>
      <w:r>
        <w:t xml:space="preserve">Further expand and promote the existing take-back program.</w:t>
      </w:r>
    </w:p>
    <w:p>
      <w:pPr>
        <w:numPr>
          <w:ilvl w:val="1"/>
          <w:numId w:val="1019"/>
        </w:numPr>
        <w:pStyle w:val="Compact"/>
      </w:pPr>
      <w:r>
        <w:t xml:space="preserve">Design for disassembly and repair to extend product lifespan and facilitate material recovery.</w:t>
      </w:r>
    </w:p>
    <w:p>
      <w:pPr>
        <w:numPr>
          <w:ilvl w:val="1"/>
          <w:numId w:val="1019"/>
        </w:numPr>
        <w:pStyle w:val="Compact"/>
      </w:pPr>
      <w:r>
        <w:t xml:space="preserve">Explore opportunities for using recycled content in new products.</w:t>
      </w:r>
    </w:p>
    <w:p>
      <w:pPr>
        <w:numPr>
          <w:ilvl w:val="0"/>
          <w:numId w:val="1015"/>
        </w:numPr>
        <w:pStyle w:val="Compact"/>
      </w:pPr>
      <w:r>
        <w:rPr>
          <w:bCs/>
          <w:b/>
        </w:rPr>
        <w:t xml:space="preserve">Refine Data Collection:</w:t>
      </w:r>
      <w:r>
        <w:t xml:space="preserve"> </w:t>
      </w:r>
      <w:r>
        <w:t xml:space="preserve">Implement robust systems for collecting primary data across the entire value chain to improve future PCF accuracy and achieve full 95% Scope 3 coverage.</w:t>
      </w:r>
    </w:p>
    <w:p>
      <w:r>
        <w:pict>
          <v:rect style="width:0;height:1.5pt" o:hralign="center" o:hrstd="t" o:hr="t"/>
        </w:pict>
      </w:r>
    </w:p>
    <w:p>
      <w:pPr>
        <w:pStyle w:val="FirstParagraph"/>
      </w:pPr>
      <w:r>
        <w:t xml:space="preserve">Confidential - Internal Use Only</w:t>
      </w:r>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Smart IoT Sensor (mkzlhzxgik)</dc:title>
  <dc:creator/>
  <dc:description>Comprehensive Product Carbon Footprint (PCF) analysis report for mkzlhzxgik (Smart IoT Sensor) by dtmtonkkly, Senior Sustainability Consultant at pqtfxrgdis, adhering to GHG Protocol standards and 2026 LSR updates.</dc:description>
  <dc:language>en</dc:language>
  <cp:keywords/>
  <dcterms:created xsi:type="dcterms:W3CDTF">2026-05-30T19:26:19Z</dcterms:created>
  <dcterms:modified xsi:type="dcterms:W3CDTF">2026-05-30T19:26:19Z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