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IoT</w:t>
      </w:r>
      <w:r>
        <w:t xml:space="preserve"> </w:t>
      </w:r>
      <w:r>
        <w:t xml:space="preserve">Sensor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Smart IoT Sensor (idlreindfy)</w:t>
      </w:r>
    </w:p>
    <w:p>
      <w:pPr>
        <w:pStyle w:val="BodyText"/>
      </w:pPr>
      <w:r>
        <w:rPr>
          <w:bCs/>
          <w:b/>
        </w:rPr>
        <w:t xml:space="preserve">Company Name:</w:t>
      </w:r>
      <w:r>
        <w:t xml:space="preserve"> </w:t>
      </w:r>
      <w:r>
        <w:t xml:space="preserve">EcoSolutions Corp. (zvxyiilxgj)</w:t>
      </w:r>
    </w:p>
    <w:p>
      <w:pPr>
        <w:pStyle w:val="BodyText"/>
      </w:pPr>
      <w:r>
        <w:rPr>
          <w:bCs/>
          <w:b/>
        </w:rPr>
        <w:t xml:space="preserve">Senior Sustainability Consultant:</w:t>
      </w:r>
      <w:r>
        <w:t xml:space="preserve"> </w:t>
      </w:r>
      <w:r>
        <w:t xml:space="preserve">Alex Green (uvqwlugxro)</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The accuracy of the results depends on the completeness and reliability of the input parameters and emission factors used.</w:t>
      </w:r>
    </w:p>
    <w:bookmarkEnd w:id="20"/>
    <w:bookmarkStart w:id="21" w:name="X45e4dbf8d242aeaffef50b3f30121cd9dca1678"/>
    <w:p>
      <w:pPr>
        <w:pStyle w:val="Heading1"/>
      </w:pPr>
      <w:r>
        <w:t xml:space="preserve">Product Carbon Footprint Analysis Report: Smart IoT Sensor</w:t>
      </w:r>
    </w:p>
    <w:p>
      <w:pPr>
        <w:pStyle w:val="FirstParagraph"/>
      </w:pPr>
      <w:r>
        <w:t xml:space="preserve">Generated Date: May 24,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"Smart IoT Sensor" (idlreindfy) manufactured by EcoSolutions Corp. (zvxyiilxgj). Prepared by Senior Sustainability Consultant Alex Green (uvqwlugxro), this analysis adheres strictly to the GHG Protocol accounting standards, with a system boundary defined as \'factory_gate\'. The assessment incorporates specific data for the Bill of Materials (BOM), transportation logistics, manufacturing energy usage, product lifespan, energy consumption during use, and end-of-life scenarios. The total Product Carbon Footprint for one functional unit of the Smart IoT Sensor has been calculated, with key emission hotspots identified across its lifecycle stages.</w:t>
      </w:r>
    </w:p>
    <w:p>
      <w:r>
        <w:pict>
          <v:rect style="width:0;height:1.5pt" o:hralign="center" o:hrstd="t" o:hr="t"/>
        </w:pict>
      </w:r>
    </w:p>
    <w:bookmarkEnd w:id="22"/>
    <w:bookmarkStart w:id="24" w:name="methodology"/>
    <w:p>
      <w:pPr>
        <w:pStyle w:val="Heading2"/>
      </w:pPr>
      <w:r>
        <w:t xml:space="preserve">Methodology</w:t>
      </w:r>
    </w:p>
    <w:p>
      <w:pPr>
        <w:pStyle w:val="FirstParagraph"/>
      </w:pPr>
      <w:r>
        <w:t xml:space="preserve">The Product Carbon Footprint (PCF) analysis for the Smart IoT Sensor followed the five-step methodology prescribed by leading sustainability frameworks, rigorously adhering to the GHG Protocol:</w:t>
      </w:r>
    </w:p>
    <w:p>
      <w:pPr>
        <w:numPr>
          <w:ilvl w:val="0"/>
          <w:numId w:val="1001"/>
        </w:numPr>
        <w:pStyle w:val="Compact"/>
      </w:pPr>
      <w:r>
        <w:rPr>
          <w:bCs/>
          <w:b/>
        </w:rPr>
        <w:t xml:space="preserve">Define Scope:</w:t>
      </w:r>
      <w:r>
        <w:t xml:space="preserve"> </w:t>
      </w:r>
      <w:r>
        <w:t xml:space="preserve">Established the functional unit, system boundaries, geographic scope, and allocation principles.</w:t>
      </w:r>
    </w:p>
    <w:p>
      <w:pPr>
        <w:numPr>
          <w:ilvl w:val="0"/>
          <w:numId w:val="1001"/>
        </w:numPr>
        <w:pStyle w:val="Compact"/>
      </w:pPr>
      <w:r>
        <w:rPr>
          <w:bCs/>
          <w:b/>
        </w:rPr>
        <w:t xml:space="preserve">Map Lifecycle:</w:t>
      </w:r>
      <w:r>
        <w:t xml:space="preserve"> </w:t>
      </w:r>
      <w:r>
        <w:t xml:space="preserve">Detailed all relevant lifecycle inventory stages from material extraction to end-of-life.</w:t>
      </w:r>
    </w:p>
    <w:p>
      <w:pPr>
        <w:numPr>
          <w:ilvl w:val="0"/>
          <w:numId w:val="1001"/>
        </w:numPr>
        <w:pStyle w:val="Compact"/>
      </w:pPr>
      <w:r>
        <w:rPr>
          <w:bCs/>
          <w:b/>
        </w:rPr>
        <w:t xml:space="preserve">Collect Data:</w:t>
      </w:r>
      <w:r>
        <w:t xml:space="preserve"> </w:t>
      </w:r>
      <w:r>
        <w:t xml:space="preserve">Gathered comprehensive primary and secondary data points for all inputs and outputs.</w:t>
      </w:r>
    </w:p>
    <w:p>
      <w:pPr>
        <w:numPr>
          <w:ilvl w:val="0"/>
          <w:numId w:val="1001"/>
        </w:numPr>
        <w:pStyle w:val="Compact"/>
      </w:pPr>
      <w:r>
        <w:rPr>
          <w:bCs/>
          <w:b/>
        </w:rPr>
        <w:t xml:space="preserve">Calculate Emissions:</w:t>
      </w:r>
      <w:r>
        <w:t xml:space="preserve"> </w:t>
      </w:r>
      <w:r>
        <w:t xml:space="preserve">Quantified greenhouse gas emissions by multiplying activity data with appropriate emission factors (Activity × Emission Factor = CO2e).</w:t>
      </w:r>
    </w:p>
    <w:p>
      <w:pPr>
        <w:numPr>
          <w:ilvl w:val="0"/>
          <w:numId w:val="1001"/>
        </w:numPr>
        <w:pStyle w:val="Compact"/>
      </w:pPr>
      <w:r>
        <w:rPr>
          <w:bCs/>
          <w:b/>
        </w:rPr>
        <w:t xml:space="preserve">Review &amp; Report:</w:t>
      </w:r>
      <w:r>
        <w:t xml:space="preserve"> </w:t>
      </w:r>
      <w:r>
        <w:t xml:space="preserve">Identified emission hotspots, assessed data reliability, and presented the findings in a structured report.</w:t>
      </w:r>
    </w:p>
    <w:bookmarkStart w:id="23" w:name="ghg-protocol-adherence"/>
    <w:p>
      <w:pPr>
        <w:pStyle w:val="Heading3"/>
      </w:pPr>
      <w:r>
        <w:t xml:space="preserve">GHG Protocol Adherence:</w:t>
      </w:r>
    </w:p>
    <w:p>
      <w:pPr>
        <w:numPr>
          <w:ilvl w:val="0"/>
          <w:numId w:val="1002"/>
        </w:numPr>
        <w:pStyle w:val="Compact"/>
      </w:pPr>
      <w:r>
        <w:t xml:space="preserve">Emissions are categorized into Scope 1 (direct emissions), Scope 2 (purchased energy emissions), and Scope 3 (value chain emissions).</w:t>
      </w:r>
    </w:p>
    <w:p>
      <w:pPr>
        <w:numPr>
          <w:ilvl w:val="0"/>
          <w:numId w:val="1002"/>
        </w:numPr>
        <w:pStyle w:val="Compact"/>
      </w:pPr>
      <w:r>
        <w:t xml:space="preserve">The 2026 Land Sector and Removals (LSR) Standard updates were considered for land use and carbon removals, particularly in upstream material sourcing.</w:t>
      </w:r>
    </w:p>
    <w:p>
      <w:pPr>
        <w:numPr>
          <w:ilvl w:val="0"/>
          <w:numId w:val="1002"/>
        </w:numPr>
        <w:pStyle w:val="Compact"/>
      </w:pPr>
      <w:r>
        <w:t xml:space="preserve">A target of at least 95% coverage for Scope 3 reporting was maintained, as per 2026 requirements, ensuring a comprehensive assessment of value chain impacts.</w:t>
      </w:r>
    </w:p>
    <w:p>
      <w:r>
        <w:pict>
          <v:rect style="width:0;height:1.5pt" o:hralign="center" o:hrstd="t" o:hr="t"/>
        </w:pict>
      </w:r>
    </w:p>
    <w:bookmarkEnd w:id="23"/>
    <w:bookmarkEnd w:id="24"/>
    <w:bookmarkStart w:id="25" w:name="define-scope"/>
    <w:p>
      <w:pPr>
        <w:pStyle w:val="Heading2"/>
      </w:pPr>
      <w:r>
        <w:t xml:space="preserve">1. Define Scope</w:t>
      </w:r>
    </w:p>
    <w:p>
      <w:pPr>
        <w:numPr>
          <w:ilvl w:val="0"/>
          <w:numId w:val="1003"/>
        </w:numPr>
        <w:pStyle w:val="Compact"/>
      </w:pPr>
      <w:r>
        <w:rPr>
          <w:bCs/>
          <w:b/>
        </w:rPr>
        <w:t xml:space="preserve">Functional Unit:</w:t>
      </w:r>
      <w:r>
        <w:t xml:space="preserve"> </w:t>
      </w:r>
      <w:r>
        <w:t xml:space="preserve">1.0 unit of the Smart IoT Sensor (idlreindfy)</w:t>
      </w:r>
    </w:p>
    <w:p>
      <w:pPr>
        <w:numPr>
          <w:ilvl w:val="0"/>
          <w:numId w:val="1003"/>
        </w:numPr>
        <w:pStyle w:val="Compact"/>
      </w:pPr>
      <w:r>
        <w:rPr>
          <w:bCs/>
          <w:b/>
        </w:rPr>
        <w:t xml:space="preserve">System Boundary:</w:t>
      </w:r>
      <w:r>
        <w:t xml:space="preserve"> </w:t>
      </w:r>
      <w:r>
        <w:t xml:space="preserve">factory_gate. This includes emissions from raw material extraction, material processing, transportation to the factory, and manufacturing processes within the factory. Downstream stages (product distribution, use phase, and end-of-life) are also included in the analysis as per the requirements.</w:t>
      </w:r>
    </w:p>
    <w:p>
      <w:pPr>
        <w:numPr>
          <w:ilvl w:val="0"/>
          <w:numId w:val="1003"/>
        </w:numPr>
        <w:pStyle w:val="Compact"/>
      </w:pPr>
      <w:r>
        <w:rPr>
          <w:bCs/>
          <w:b/>
        </w:rPr>
        <w:t xml:space="preserve">Geographic Scope:</w:t>
      </w:r>
      <w:r>
        <w:t xml:space="preserve"> </w:t>
      </w:r>
      <w:r>
        <w:t xml:space="preserve">Final Production Country: China, Supply Chain Focus: Europe Focused (for raw material sourcing and distribution).</w:t>
      </w:r>
    </w:p>
    <w:p>
      <w:pPr>
        <w:numPr>
          <w:ilvl w:val="0"/>
          <w:numId w:val="1003"/>
        </w:numPr>
        <w:pStyle w:val="Compact"/>
      </w:pPr>
      <w:r>
        <w:rPr>
          <w:bCs/>
          <w:b/>
        </w:rPr>
        <w:t xml:space="preserve">Accounting Standard:</w:t>
      </w:r>
      <w:r>
        <w:t xml:space="preserve"> </w:t>
      </w:r>
      <w:r>
        <w:t xml:space="preserve">GHG Protocol</w:t>
      </w:r>
    </w:p>
    <w:p>
      <w:pPr>
        <w:numPr>
          <w:ilvl w:val="0"/>
          <w:numId w:val="1003"/>
        </w:numPr>
        <w:pStyle w:val="Compact"/>
      </w:pPr>
      <w:r>
        <w:rPr>
          <w:bCs/>
          <w:b/>
        </w:rPr>
        <w:t xml:space="preserve">Allocation:</w:t>
      </w:r>
      <w:r>
        <w:t xml:space="preserve"> </w:t>
      </w:r>
      <w:r>
        <w:t xml:space="preserve">For multi-product systems or shared processes, economic allocation is generally preferred under GHG Protocol where technically feasible. For this specific product, direct attribution of material and energy flows is applied.</w:t>
      </w:r>
    </w:p>
    <w:p>
      <w:r>
        <w:pict>
          <v:rect style="width:0;height:1.5pt" o:hralign="center" o:hrstd="t" o:hr="t"/>
        </w:pict>
      </w:r>
    </w:p>
    <w:bookmarkEnd w:id="25"/>
    <w:bookmarkStart w:id="26" w:name="map-lifecycle-lci-inventory-stages"/>
    <w:p>
      <w:pPr>
        <w:pStyle w:val="Heading2"/>
      </w:pPr>
      <w:r>
        <w:t xml:space="preserve">2. Map Lifecycle (LCI Inventory Stages)</w:t>
      </w:r>
    </w:p>
    <w:p>
      <w:pPr>
        <w:pStyle w:val="FirstParagraph"/>
      </w:pPr>
      <w:r>
        <w:t xml:space="preserve">The lifecycle of the Smart IoT Sensor encompasses several key stages, each contributing to its overall carbon footprint:</w:t>
      </w:r>
    </w:p>
    <w:p>
      <w:pPr>
        <w:numPr>
          <w:ilvl w:val="0"/>
          <w:numId w:val="1004"/>
        </w:numPr>
        <w:pStyle w:val="Compact"/>
      </w:pPr>
      <w:r>
        <w:rPr>
          <w:bCs/>
          <w:b/>
        </w:rPr>
        <w:t xml:space="preserve">Material Acquisition &amp; Pre-processing (Upstream - Scope 3):</w:t>
      </w:r>
    </w:p>
    <w:p>
      <w:pPr>
        <w:numPr>
          <w:ilvl w:val="1"/>
          <w:numId w:val="1005"/>
        </w:numPr>
        <w:pStyle w:val="Compact"/>
      </w:pPr>
      <w:r>
        <w:t xml:space="preserve">Extraction of raw materials (e.g., bauxite for aluminum, crude oil for plastics, copper ore).</w:t>
      </w:r>
    </w:p>
    <w:p>
      <w:pPr>
        <w:numPr>
          <w:ilvl w:val="1"/>
          <w:numId w:val="1005"/>
        </w:numPr>
        <w:pStyle w:val="Compact"/>
      </w:pPr>
      <w:r>
        <w:t xml:space="preserve">Processing of these raw materials into usable components (e.g., aluminum casting, plastic injection molding, wire drawing).</w:t>
      </w:r>
    </w:p>
    <w:p>
      <w:pPr>
        <w:numPr>
          <w:ilvl w:val="1"/>
          <w:numId w:val="1005"/>
        </w:numPr>
        <w:pStyle w:val="Compact"/>
      </w:pPr>
      <w:r>
        <w:t xml:space="preserve">Manufacturing of complex sub-components like circuit boards.</w:t>
      </w:r>
    </w:p>
    <w:p>
      <w:pPr>
        <w:numPr>
          <w:ilvl w:val="0"/>
          <w:numId w:val="1004"/>
        </w:numPr>
        <w:pStyle w:val="Compact"/>
      </w:pPr>
      <w:r>
        <w:rPr>
          <w:bCs/>
          <w:b/>
        </w:rPr>
        <w:t xml:space="preserve">Manufacturing / Production (Core - Scope 1 &amp; 2):</w:t>
      </w:r>
    </w:p>
    <w:p>
      <w:pPr>
        <w:numPr>
          <w:ilvl w:val="1"/>
          <w:numId w:val="1006"/>
        </w:numPr>
        <w:pStyle w:val="Compact"/>
      </w:pPr>
      <w:r>
        <w:t xml:space="preserve">Energy consumption for assembly, testing, and other factory operations in China.</w:t>
      </w:r>
    </w:p>
    <w:p>
      <w:pPr>
        <w:numPr>
          <w:ilvl w:val="1"/>
          <w:numId w:val="1006"/>
        </w:numPr>
        <w:pStyle w:val="Compact"/>
      </w:pPr>
      <w:r>
        <w:t xml:space="preserve">On-site emissions from any direct fuel combustion (Scope 1, though negligible/not specified for this PCF).</w:t>
      </w:r>
    </w:p>
    <w:p>
      <w:pPr>
        <w:numPr>
          <w:ilvl w:val="1"/>
          <w:numId w:val="1006"/>
        </w:numPr>
        <w:pStyle w:val="Compact"/>
      </w:pPr>
      <w:r>
        <w:t xml:space="preserve">Electricity consumption from the grid (Scope 2).</w:t>
      </w:r>
    </w:p>
    <w:p>
      <w:pPr>
        <w:numPr>
          <w:ilvl w:val="0"/>
          <w:numId w:val="1004"/>
        </w:numPr>
        <w:pStyle w:val="Compact"/>
      </w:pPr>
      <w:r>
        <w:rPr>
          <w:bCs/>
          <w:b/>
        </w:rPr>
        <w:t xml:space="preserve">Distribution / Transport (Downstream - Scope 3):</w:t>
      </w:r>
    </w:p>
    <w:p>
      <w:pPr>
        <w:numPr>
          <w:ilvl w:val="1"/>
          <w:numId w:val="1007"/>
        </w:numPr>
        <w:pStyle w:val="Compact"/>
      </w:pPr>
      <w:r>
        <w:t xml:space="preserve">Transportation of the finished product from the factory to distribution centers and ultimately to end-users (Europe Focused).</w:t>
      </w:r>
    </w:p>
    <w:p>
      <w:pPr>
        <w:numPr>
          <w:ilvl w:val="0"/>
          <w:numId w:val="1004"/>
        </w:numPr>
        <w:pStyle w:val="Compact"/>
      </w:pPr>
      <w:r>
        <w:rPr>
          <w:bCs/>
          <w:b/>
        </w:rPr>
        <w:t xml:space="preserve">Use Phase (Downstream - Scope 3):</w:t>
      </w:r>
    </w:p>
    <w:p>
      <w:pPr>
        <w:numPr>
          <w:ilvl w:val="1"/>
          <w:numId w:val="1008"/>
        </w:numPr>
        <w:pStyle w:val="Compact"/>
      </w:pPr>
      <w:r>
        <w:t xml:space="preserve">Energy consumption during the product\'s operational lifespan.</w:t>
      </w:r>
    </w:p>
    <w:p>
      <w:pPr>
        <w:numPr>
          <w:ilvl w:val="0"/>
          <w:numId w:val="1004"/>
        </w:numPr>
        <w:pStyle w:val="Compact"/>
      </w:pPr>
      <w:r>
        <w:rPr>
          <w:bCs/>
          <w:b/>
        </w:rPr>
        <w:t xml:space="preserve">End-of-Life (Downstream - Scope 3):</w:t>
      </w:r>
    </w:p>
    <w:p>
      <w:pPr>
        <w:numPr>
          <w:ilvl w:val="1"/>
          <w:numId w:val="1009"/>
        </w:numPr>
        <w:pStyle w:val="Compact"/>
      </w:pPr>
      <w:r>
        <w:t xml:space="preserve">Disposal or recycling of the product at the end of its useful life, including collection and processing.</w:t>
      </w:r>
    </w:p>
    <w:p>
      <w:r>
        <w:pict>
          <v:rect style="width:0;height:1.5pt" o:hralign="center" o:hrstd="t" o:hr="t"/>
        </w:pict>
      </w:r>
    </w:p>
    <w:bookmarkEnd w:id="26"/>
    <w:bookmarkStart w:id="33" w:name="Xb57f50a89bf1f3f1837369be949d9d60d6c1272"/>
    <w:p>
      <w:pPr>
        <w:pStyle w:val="Heading2"/>
      </w:pPr>
      <w:r>
        <w:t xml:space="preserve">3. Collect Data (Primary/Secondary Data Points)</w:t>
      </w:r>
    </w:p>
    <w:p>
      <w:pPr>
        <w:pStyle w:val="FirstParagraph"/>
      </w:pPr>
      <w:r>
        <w:t xml:space="preserve">Data collection for this analysis utilized a combination of primary (provided parameters) and secondary (industry-standard emission factors) sources to ensure a high level of detail and accuracy.</w:t>
      </w:r>
    </w:p>
    <w:bookmarkStart w:id="27" w:name="detailed-bill-of-materials-bom-utyrwpsv"/>
    <w:p>
      <w:pPr>
        <w:pStyle w:val="Heading3"/>
      </w:pPr>
      <w:r>
        <w:t xml:space="preserve">Detailed Bill of Materials (BOM): utyrwpsv</w:t>
      </w:r>
    </w:p>
    <w:p>
      <w:pPr>
        <w:pStyle w:val="FirstParagraph"/>
      </w:pPr>
      <w:r>
        <w:t xml:space="preserve">The following detailed Bill of Materials was used to calculate the material acquisition and pre-processing impacts: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(kgCO2e/unit_qty)</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rPr>
          <w:bCs/>
          <w:b/>
        </w:rPr>
        <w:t xml:space="preserve">Calculated total material carbon footprint (from BOM):</w:t>
      </w:r>
      <w:r>
        <w:t xml:space="preserve"> </w:t>
      </w:r>
      <w:r>
        <w:t xml:space="preserve">6.16 kg CO2e</w:t>
      </w:r>
    </w:p>
    <w:p>
      <w:pPr>
        <w:pStyle w:val="BodyText"/>
      </w:pPr>
      <w:r>
        <w:rPr>
          <w:bCs/>
          <w:b/>
        </w:rPr>
        <w:t xml:space="preserve">Calculated total product weight (for transport/EoL):</w:t>
      </w:r>
      <w:r>
        <w:t xml:space="preserve"> </w:t>
      </w:r>
      <w:r>
        <w:t xml:space="preserve">1.2 kg (assuming 0.1 kg for the Circuit Board \'unit\').</w:t>
      </w:r>
    </w:p>
    <w:bookmarkEnd w:id="27"/>
    <w:bookmarkStart w:id="28" w:name="logistics-data"/>
    <w:p>
      <w:pPr>
        <w:pStyle w:val="Heading3"/>
      </w:pPr>
      <w:r>
        <w:t xml:space="preserve">Logistics Data:</w:t>
      </w:r>
    </w:p>
    <w:p>
      <w:pPr>
        <w:numPr>
          <w:ilvl w:val="0"/>
          <w:numId w:val="1010"/>
        </w:numPr>
        <w:pStyle w:val="Compact"/>
      </w:pPr>
      <w:r>
        <w:rPr>
          <w:bCs/>
          <w:b/>
        </w:rPr>
        <w:t xml:space="preserve">Transport Mode (Finished Product):</w:t>
      </w:r>
      <w:r>
        <w:t xml:space="preserve"> </w:t>
      </w:r>
      <w:r>
        <w:t xml:space="preserve">Road Freight (Select Mode)</w:t>
      </w:r>
    </w:p>
    <w:p>
      <w:pPr>
        <w:numPr>
          <w:ilvl w:val="0"/>
          <w:numId w:val="1010"/>
        </w:numPr>
        <w:pStyle w:val="Compact"/>
      </w:pPr>
      <w:r>
        <w:rPr>
          <w:bCs/>
          <w:b/>
        </w:rPr>
        <w:t xml:space="preserve">Transport Distance (Finished Product Distribution):</w:t>
      </w:r>
      <w:r>
        <w:t xml:space="preserve"> </w:t>
      </w:r>
      <w:r>
        <w:t xml:space="preserve">1500 km (yvgzuemsrv)</w:t>
      </w:r>
    </w:p>
    <w:p>
      <w:pPr>
        <w:numPr>
          <w:ilvl w:val="0"/>
          <w:numId w:val="1010"/>
        </w:numPr>
        <w:pStyle w:val="Compact"/>
      </w:pPr>
      <w:r>
        <w:rPr>
          <w:bCs/>
          <w:b/>
        </w:rPr>
        <w:t xml:space="preserve">Last-Mile Delivery Channel:</w:t>
      </w:r>
      <w:r>
        <w:t xml:space="preserve"> </w:t>
      </w:r>
      <w:r>
        <w:t xml:space="preserve">Small Parcel Carrier (Van) (Delivery Type)</w:t>
      </w:r>
    </w:p>
    <w:bookmarkEnd w:id="28"/>
    <w:bookmarkStart w:id="29" w:name="energy-customization-production-phase"/>
    <w:p>
      <w:pPr>
        <w:pStyle w:val="Heading3"/>
      </w:pPr>
      <w:r>
        <w:t xml:space="preserve">Energy Customization (Production Phase):</w:t>
      </w:r>
    </w:p>
    <w:p>
      <w:pPr>
        <w:numPr>
          <w:ilvl w:val="0"/>
          <w:numId w:val="1011"/>
        </w:numPr>
        <w:pStyle w:val="Compact"/>
      </w:pPr>
      <w:r>
        <w:rPr>
          <w:bCs/>
          <w:b/>
        </w:rPr>
        <w:t xml:space="preserve">Renewable Energy Usage:</w:t>
      </w:r>
      <w:r>
        <w:t xml:space="preserve"> </w:t>
      </w:r>
      <w:r>
        <w:t xml:space="preserve">60% (fnjlxltpwo)</w:t>
      </w:r>
    </w:p>
    <w:p>
      <w:pPr>
        <w:numPr>
          <w:ilvl w:val="0"/>
          <w:numId w:val="1011"/>
        </w:numPr>
        <w:pStyle w:val="Compact"/>
      </w:pPr>
      <w:r>
        <w:rPr>
          <w:bCs/>
          <w:b/>
        </w:rPr>
        <w:t xml:space="preserve">Energy Intensity (Electricity for Manufacturing):</w:t>
      </w:r>
      <w:r>
        <w:t xml:space="preserve"> </w:t>
      </w:r>
      <w:r>
        <w:t xml:space="preserve">10 kWh/unit (gklgyieghv)</w:t>
      </w:r>
    </w:p>
    <w:bookmarkEnd w:id="29"/>
    <w:bookmarkStart w:id="30" w:name="use-phase-data"/>
    <w:p>
      <w:pPr>
        <w:pStyle w:val="Heading3"/>
      </w:pPr>
      <w:r>
        <w:t xml:space="preserve">Use Phase Data:</w:t>
      </w:r>
    </w:p>
    <w:p>
      <w:pPr>
        <w:numPr>
          <w:ilvl w:val="0"/>
          <w:numId w:val="1012"/>
        </w:numPr>
        <w:pStyle w:val="Compact"/>
      </w:pPr>
      <w:r>
        <w:rPr>
          <w:bCs/>
          <w:b/>
        </w:rPr>
        <w:t xml:space="preserve">Product Lifespan:</w:t>
      </w:r>
      <w:r>
        <w:t xml:space="preserve"> </w:t>
      </w:r>
      <w:r>
        <w:t xml:space="preserve">7 years (szkudyetzl)</w:t>
      </w:r>
    </w:p>
    <w:p>
      <w:pPr>
        <w:numPr>
          <w:ilvl w:val="0"/>
          <w:numId w:val="1012"/>
        </w:numPr>
        <w:pStyle w:val="Compact"/>
      </w:pPr>
      <w:r>
        <w:rPr>
          <w:bCs/>
          <w:b/>
        </w:rPr>
        <w:t xml:space="preserve">Energy Consumption in Use:</w:t>
      </w:r>
      <w:r>
        <w:t xml:space="preserve"> </w:t>
      </w:r>
      <w:r>
        <w:t xml:space="preserve">5 kWh/year (mhpsfrswur)</w:t>
      </w:r>
    </w:p>
    <w:bookmarkEnd w:id="30"/>
    <w:bookmarkStart w:id="31" w:name="end-of-life-eol-scenarios"/>
    <w:p>
      <w:pPr>
        <w:pStyle w:val="Heading3"/>
      </w:pPr>
      <w:r>
        <w:t xml:space="preserve">End-of-Life (EoL) Scenarios:</w:t>
      </w:r>
    </w:p>
    <w:p>
      <w:pPr>
        <w:numPr>
          <w:ilvl w:val="0"/>
          <w:numId w:val="1013"/>
        </w:numPr>
        <w:pStyle w:val="Compact"/>
      </w:pPr>
      <w:r>
        <w:rPr>
          <w:bCs/>
          <w:b/>
        </w:rPr>
        <w:t xml:space="preserve">Recyclability Percentage:</w:t>
      </w:r>
      <w:r>
        <w:t xml:space="preserve"> </w:t>
      </w:r>
      <w:r>
        <w:t xml:space="preserve">70% (lzuextromo)</w:t>
      </w:r>
    </w:p>
    <w:p>
      <w:pPr>
        <w:numPr>
          <w:ilvl w:val="0"/>
          <w:numId w:val="1013"/>
        </w:numPr>
        <w:pStyle w:val="Compact"/>
      </w:pPr>
      <w:r>
        <w:rPr>
          <w:bCs/>
          <w:b/>
        </w:rPr>
        <w:t xml:space="preserve">Circular/Take-back Programs:</w:t>
      </w:r>
      <w:r>
        <w:t xml:space="preserve"> </w:t>
      </w:r>
      <w:r>
        <w:t xml:space="preserve">Yes, through local collection points (okedlxufvd)</w:t>
      </w:r>
    </w:p>
    <w:bookmarkEnd w:id="31"/>
    <w:bookmarkStart w:id="32" w:name="X516ceab48de7396f6bf74b0e9a350ded23b2a23"/>
    <w:p>
      <w:pPr>
        <w:pStyle w:val="Heading3"/>
      </w:pPr>
      <w:r>
        <w:t xml:space="preserve">Industry-Standard Emission Factors Used (Ecoinvent/DEFRA equivalents):</w:t>
      </w:r>
    </w:p>
    <w:p>
      <w:pPr>
        <w:numPr>
          <w:ilvl w:val="0"/>
          <w:numId w:val="1014"/>
        </w:numPr>
        <w:pStyle w:val="Compact"/>
      </w:pPr>
      <w:r>
        <w:t xml:space="preserve">China Grid Electricity Emission Factor (Production): 0.557 kg CO2e/kWh</w:t>
      </w:r>
    </w:p>
    <w:p>
      <w:pPr>
        <w:numPr>
          <w:ilvl w:val="0"/>
          <w:numId w:val="1014"/>
        </w:numPr>
        <w:pStyle w:val="Compact"/>
      </w:pPr>
      <w:r>
        <w:t xml:space="preserve">Renewable Electricity Emission Factor: 0.03 kg CO2e/kWh (generic low-carbon source)</w:t>
      </w:r>
    </w:p>
    <w:p>
      <w:pPr>
        <w:numPr>
          <w:ilvl w:val="0"/>
          <w:numId w:val="1014"/>
        </w:numPr>
        <w:pStyle w:val="Compact"/>
      </w:pPr>
      <w:r>
        <w:t xml:space="preserve">Road Freight Emission Factor (Europe, HGV): 0.062 kg CO2e/tkm</w:t>
      </w:r>
    </w:p>
    <w:p>
      <w:pPr>
        <w:numPr>
          <w:ilvl w:val="0"/>
          <w:numId w:val="1014"/>
        </w:numPr>
        <w:pStyle w:val="Compact"/>
      </w:pPr>
      <w:r>
        <w:t xml:space="preserve">Small Parcel Carrier (Van) Emission Factor (Europe): 0.35 kg CO2e/tkm (estimated from per-km data assuming ~0.7t payload)</w:t>
      </w:r>
    </w:p>
    <w:p>
      <w:pPr>
        <w:numPr>
          <w:ilvl w:val="0"/>
          <w:numId w:val="1014"/>
        </w:numPr>
        <w:pStyle w:val="Compact"/>
      </w:pPr>
      <w:r>
        <w:t xml:space="preserve">Global Average Electricity Emission Factor (Use Phase): 0.45 kg CO2e/kWh</w:t>
      </w:r>
    </w:p>
    <w:p>
      <w:pPr>
        <w:numPr>
          <w:ilvl w:val="0"/>
          <w:numId w:val="1014"/>
        </w:numPr>
        <w:pStyle w:val="Compact"/>
      </w:pPr>
      <w:r>
        <w:t xml:space="preserve">Landfill Burden (for non-recycled portion): 0.1 kg CO2e/kg product mass (estimate)</w:t>
      </w:r>
    </w:p>
    <w:p>
      <w:pPr>
        <w:numPr>
          <w:ilvl w:val="0"/>
          <w:numId w:val="1014"/>
        </w:numPr>
        <w:pStyle w:val="Compact"/>
      </w:pPr>
      <w:r>
        <w:t xml:space="preserve">Recycling/Circular Economy Credit (for recycled portion): -0.5 kg CO2e/kg product mass (estimate of avoided virgin material production)</w:t>
      </w:r>
    </w:p>
    <w:p>
      <w:r>
        <w:pict>
          <v:rect style="width:0;height:1.5pt" o:hralign="center" o:hrstd="t" o:hr="t"/>
        </w:pict>
      </w:r>
    </w:p>
    <w:bookmarkEnd w:id="32"/>
    <w:bookmarkEnd w:id="33"/>
    <w:bookmarkStart w:id="42" w:name="calculate-emissions"/>
    <w:p>
      <w:pPr>
        <w:pStyle w:val="Heading2"/>
      </w:pPr>
      <w:r>
        <w:t xml:space="preserve">4. Calculate Emissions</w:t>
      </w:r>
    </w:p>
    <w:p>
      <w:pPr>
        <w:pStyle w:val="FirstParagraph"/>
      </w:pPr>
      <w:r>
        <w:t xml:space="preserve">The total Product Carbon Footprint is calculated by summing the emissions from each lifecycle stage, categorized according to the GHG Protocol.</w:t>
      </w:r>
    </w:p>
    <w:bookmarkStart w:id="34" w:name="scope-1-direct-emissions"/>
    <w:p>
      <w:pPr>
        <w:pStyle w:val="Heading3"/>
      </w:pPr>
      <w:r>
        <w:t xml:space="preserve">Scope 1: Direct Emissions</w:t>
      </w:r>
    </w:p>
    <w:p>
      <w:pPr>
        <w:pStyle w:val="FirstParagraph"/>
      </w:pPr>
      <w:r>
        <w:t xml:space="preserve">For a \'factory_gate\' system boundary focusing on product manufacturing, direct emissions from sources owned or controlled by EcoSolutions Corp. on-site (e.g., fuel combustion for heating or processes) are considered. Given the provided parameters, specific data for direct on-site fuel combustion was not available. Therefore, Scope 1 emissions are considered negligible or integrated into upstream/Scope 2 factors for this PCF analysis.</w:t>
      </w:r>
    </w:p>
    <w:p>
      <w:pPr>
        <w:pStyle w:val="BodyText"/>
      </w:pPr>
      <w:r>
        <w:rPr>
          <w:bCs/>
          <w:b/>
        </w:rPr>
        <w:t xml:space="preserve">Total Scope 1 Emissions:</w:t>
      </w:r>
      <w:r>
        <w:t xml:space="preserve"> </w:t>
      </w:r>
      <w:r>
        <w:t xml:space="preserve">0.00 kg CO2e</w:t>
      </w:r>
    </w:p>
    <w:bookmarkEnd w:id="34"/>
    <w:bookmarkStart w:id="35" w:name="X0196d333647aec5fe808ccff240ca4891e6afb8"/>
    <w:p>
      <w:pPr>
        <w:pStyle w:val="Heading3"/>
      </w:pPr>
      <w:r>
        <w:t xml:space="preserve">Scope 2: Purchased Energy Emissions (Manufacturing)</w:t>
      </w:r>
    </w:p>
    <w:p>
      <w:pPr>
        <w:pStyle w:val="FirstParagraph"/>
      </w:pPr>
      <w:r>
        <w:t xml:space="preserve">This category covers indirect emissions from the generation of purchased electricity consumed during the manufacturing process in China.</w:t>
      </w:r>
    </w:p>
    <w:p>
      <w:pPr>
        <w:numPr>
          <w:ilvl w:val="0"/>
          <w:numId w:val="1015"/>
        </w:numPr>
        <w:pStyle w:val="Compact"/>
      </w:pPr>
      <w:r>
        <w:t xml:space="preserve">Total Energy Intensity: 10 kWh/unit</w:t>
      </w:r>
    </w:p>
    <w:p>
      <w:pPr>
        <w:numPr>
          <w:ilvl w:val="0"/>
          <w:numId w:val="1015"/>
        </w:numPr>
        <w:pStyle w:val="Compact"/>
      </w:pPr>
      <w:r>
        <w:t xml:space="preserve">Renewable Energy Usage: 60%</w:t>
      </w:r>
    </w:p>
    <w:p>
      <w:pPr>
        <w:numPr>
          <w:ilvl w:val="0"/>
          <w:numId w:val="1015"/>
        </w:numPr>
        <w:pStyle w:val="Compact"/>
      </w:pPr>
      <w:r>
        <w:t xml:space="preserve">Non-renewable electricity: 10 kWh * (1 - 0.60) = 4 kWh</w:t>
      </w:r>
    </w:p>
    <w:p>
      <w:pPr>
        <w:numPr>
          <w:ilvl w:val="0"/>
          <w:numId w:val="1015"/>
        </w:numPr>
        <w:pStyle w:val="Compact"/>
      </w:pPr>
      <w:r>
        <w:t xml:space="preserve">Renewable electricity: 10 kWh * 0.60 = 6 kWh</w:t>
      </w:r>
    </w:p>
    <w:p>
      <w:pPr>
        <w:numPr>
          <w:ilvl w:val="0"/>
          <w:numId w:val="1015"/>
        </w:numPr>
        <w:pStyle w:val="Compact"/>
      </w:pPr>
      <w:r>
        <w:t xml:space="preserve">Emissions from non-renewable electricity: 4 kWh * 0.557 kgCO2e/kWh = 2.228 kg CO2e</w:t>
      </w:r>
    </w:p>
    <w:p>
      <w:pPr>
        <w:numPr>
          <w:ilvl w:val="0"/>
          <w:numId w:val="1015"/>
        </w:numPr>
        <w:pStyle w:val="Compact"/>
      </w:pPr>
      <w:r>
        <w:t xml:space="preserve">Emissions from renewable electricity: 6 kWh * 0.03 kgCO2e/kWh = 0.18 kg CO2e</w:t>
      </w:r>
    </w:p>
    <w:p>
      <w:pPr>
        <w:pStyle w:val="FirstParagraph"/>
      </w:pPr>
      <w:r>
        <w:rPr>
          <w:bCs/>
          <w:b/>
        </w:rPr>
        <w:t xml:space="preserve">Total Scope 2 Emissions:</w:t>
      </w:r>
      <w:r>
        <w:t xml:space="preserve"> </w:t>
      </w:r>
      <w:r>
        <w:t xml:space="preserve">2.228 kg CO2e + 0.18 kg CO2e = 2.408 kg CO2e</w:t>
      </w:r>
    </w:p>
    <w:bookmarkEnd w:id="35"/>
    <w:bookmarkStart w:id="39" w:name="scope-3-value-chain-emissions"/>
    <w:p>
      <w:pPr>
        <w:pStyle w:val="Heading3"/>
      </w:pPr>
      <w:r>
        <w:t xml:space="preserve">Scope 3: Value Chain Emissions</w:t>
      </w:r>
    </w:p>
    <w:p>
      <w:pPr>
        <w:pStyle w:val="FirstParagraph"/>
      </w:pPr>
      <w:r>
        <w:t xml:space="preserve">Scope 3 emissions cover all other indirect emissions from the value chain, both upstream and downstream.</w:t>
      </w:r>
    </w:p>
    <w:bookmarkStart w:id="36" w:name="upstream-emissions-materials"/>
    <w:p>
      <w:pPr>
        <w:pStyle w:val="Heading4"/>
      </w:pPr>
      <w:r>
        <w:t xml:space="preserve">Upstream Emissions (Materials)</w:t>
      </w:r>
    </w:p>
    <w:p>
      <w:pPr>
        <w:pStyle w:val="FirstParagraph"/>
      </w:pPr>
      <w:r>
        <w:t xml:space="preserve">These emissions originate from the extraction, processing, and manufacturing of raw materials as detailed in the Bill of Materials (BOM).</w:t>
      </w:r>
    </w:p>
    <w:p>
      <w:pPr>
        <w:numPr>
          <w:ilvl w:val="0"/>
          <w:numId w:val="1016"/>
        </w:numPr>
        <w:pStyle w:val="Compact"/>
      </w:pPr>
      <w:r>
        <w:t xml:space="preserve">Total material carbon footprint (sum from BOM): 6.16 kg CO2e</w:t>
      </w:r>
    </w:p>
    <w:p>
      <w:pPr>
        <w:pStyle w:val="FirstParagraph"/>
      </w:pPr>
      <w:r>
        <w:rPr>
          <w:bCs/>
          <w:b/>
        </w:rPr>
        <w:t xml:space="preserve">Total Upstream Material Emissions:</w:t>
      </w:r>
      <w:r>
        <w:t xml:space="preserve"> </w:t>
      </w:r>
      <w:r>
        <w:t xml:space="preserve">6.16 kg CO2e</w:t>
      </w:r>
    </w:p>
    <w:bookmarkEnd w:id="36"/>
    <w:bookmarkStart w:id="37" w:name="X07e56e09e55485c89712205dbec1f008a163ba5"/>
    <w:p>
      <w:pPr>
        <w:pStyle w:val="Heading4"/>
      </w:pPr>
      <w:r>
        <w:t xml:space="preserve">Downstream Emissions (Transport, Use Phase, End-of-Life)</w:t>
      </w:r>
    </w:p>
    <w:p>
      <w:pPr>
        <w:pStyle w:val="FirstParagraph"/>
      </w:pPr>
      <w:r>
        <w:t xml:space="preserve">These emissions occur after the product leaves the factory gate.</w:t>
      </w:r>
    </w:p>
    <w:p>
      <w:pPr>
        <w:pStyle w:val="BodyText"/>
      </w:pPr>
      <w:r>
        <w:rPr>
          <w:bCs/>
          <w:b/>
        </w:rPr>
        <w:t xml:space="preserve">1. Product Distribution (Finished Product Transport):</w:t>
      </w:r>
    </w:p>
    <w:p>
      <w:pPr>
        <w:numPr>
          <w:ilvl w:val="0"/>
          <w:numId w:val="1017"/>
        </w:numPr>
        <w:pStyle w:val="Compact"/>
      </w:pPr>
      <w:r>
        <w:t xml:space="preserve">Total Product Weight: 1.2 kg</w:t>
      </w:r>
    </w:p>
    <w:p>
      <w:pPr>
        <w:numPr>
          <w:ilvl w:val="0"/>
          <w:numId w:val="1017"/>
        </w:numPr>
        <w:pStyle w:val="Compact"/>
      </w:pPr>
      <w:r>
        <w:t xml:space="preserve">Transport Distance: 1500 km</w:t>
      </w:r>
    </w:p>
    <w:p>
      <w:pPr>
        <w:numPr>
          <w:ilvl w:val="0"/>
          <w:numId w:val="1017"/>
        </w:numPr>
        <w:pStyle w:val="Compact"/>
      </w:pPr>
      <w:r>
        <w:t xml:space="preserve">Emission Factor (Small Parcel Carrier): 0.35 kg CO2e/tkm (conservative estimate for combined road freight and last-mile van delivery)</w:t>
      </w:r>
    </w:p>
    <w:p>
      <w:pPr>
        <w:numPr>
          <w:ilvl w:val="0"/>
          <w:numId w:val="1017"/>
        </w:numPr>
        <w:pStyle w:val="Compact"/>
      </w:pPr>
      <w:r>
        <w:t xml:space="preserve">Calculation: (1.2 kg / 1000 kg/tonne) * 1500 km * 0.35 kgCO2e/tkm = 0.63 kg CO2e</w:t>
      </w:r>
    </w:p>
    <w:p>
      <w:pPr>
        <w:pStyle w:val="FirstParagraph"/>
      </w:pPr>
      <w:r>
        <w:rPr>
          <w:bCs/>
          <w:b/>
        </w:rPr>
        <w:t xml:space="preserve">Total Product Distribution Emissions:</w:t>
      </w:r>
      <w:r>
        <w:t xml:space="preserve"> </w:t>
      </w:r>
      <w:r>
        <w:t xml:space="preserve">0.63 kg CO2e</w:t>
      </w:r>
    </w:p>
    <w:p>
      <w:pPr>
        <w:pStyle w:val="BodyText"/>
      </w:pPr>
      <w:r>
        <w:rPr>
          <w:bCs/>
          <w:b/>
        </w:rPr>
        <w:t xml:space="preserve">2. Use Phase:</w:t>
      </w:r>
    </w:p>
    <w:p>
      <w:pPr>
        <w:numPr>
          <w:ilvl w:val="0"/>
          <w:numId w:val="1018"/>
        </w:numPr>
        <w:pStyle w:val="Compact"/>
      </w:pPr>
      <w:r>
        <w:t xml:space="preserve">Product Lifespan: 7 years</w:t>
      </w:r>
    </w:p>
    <w:p>
      <w:pPr>
        <w:numPr>
          <w:ilvl w:val="0"/>
          <w:numId w:val="1018"/>
        </w:numPr>
        <w:pStyle w:val="Compact"/>
      </w:pPr>
      <w:r>
        <w:t xml:space="preserve">Annual Energy Consumption in Use: 5 kWh/year</w:t>
      </w:r>
    </w:p>
    <w:p>
      <w:pPr>
        <w:numPr>
          <w:ilvl w:val="0"/>
          <w:numId w:val="1018"/>
        </w:numPr>
        <w:pStyle w:val="Compact"/>
      </w:pPr>
      <w:r>
        <w:t xml:space="preserve">Total Energy Consumption over Lifespan: 7 years * 5 kWh/year = 35 kWh</w:t>
      </w:r>
    </w:p>
    <w:p>
      <w:pPr>
        <w:numPr>
          <w:ilvl w:val="0"/>
          <w:numId w:val="1018"/>
        </w:numPr>
        <w:pStyle w:val="Compact"/>
      </w:pPr>
      <w:r>
        <w:t xml:space="preserve">Global Average Electricity Emission Factor (Use Phase): 0.45 kg CO2e/kWh</w:t>
      </w:r>
    </w:p>
    <w:p>
      <w:pPr>
        <w:numPr>
          <w:ilvl w:val="0"/>
          <w:numId w:val="1018"/>
        </w:numPr>
        <w:pStyle w:val="Compact"/>
      </w:pPr>
      <w:r>
        <w:t xml:space="preserve">Calculation: 35 kWh * 0.45 kgCO2e/kWh = 15.75 kg CO2e</w:t>
      </w:r>
    </w:p>
    <w:p>
      <w:pPr>
        <w:pStyle w:val="FirstParagraph"/>
      </w:pPr>
      <w:r>
        <w:rPr>
          <w:bCs/>
          <w:b/>
        </w:rPr>
        <w:t xml:space="preserve">Total Use Phase Emissions:</w:t>
      </w:r>
      <w:r>
        <w:t xml:space="preserve"> </w:t>
      </w:r>
      <w:r>
        <w:t xml:space="preserve">15.75 kg CO2e</w:t>
      </w:r>
    </w:p>
    <w:p>
      <w:pPr>
        <w:pStyle w:val="BodyText"/>
      </w:pPr>
      <w:r>
        <w:rPr>
          <w:bCs/>
          <w:b/>
        </w:rPr>
        <w:t xml:space="preserve">3. End-of-Life (EoL):</w:t>
      </w:r>
    </w:p>
    <w:p>
      <w:pPr>
        <w:numPr>
          <w:ilvl w:val="0"/>
          <w:numId w:val="1019"/>
        </w:numPr>
        <w:pStyle w:val="Compact"/>
      </w:pPr>
      <w:r>
        <w:t xml:space="preserve">Total Product Weight: 1.2 kg</w:t>
      </w:r>
    </w:p>
    <w:p>
      <w:pPr>
        <w:numPr>
          <w:ilvl w:val="0"/>
          <w:numId w:val="1019"/>
        </w:numPr>
        <w:pStyle w:val="Compact"/>
      </w:pPr>
      <w:r>
        <w:t xml:space="preserve">Recyclability Percentage: 70%</w:t>
      </w:r>
    </w:p>
    <w:p>
      <w:pPr>
        <w:numPr>
          <w:ilvl w:val="0"/>
          <w:numId w:val="1019"/>
        </w:numPr>
        <w:pStyle w:val="Compact"/>
      </w:pPr>
      <w:r>
        <w:t xml:space="preserve">Non-recyclable portion: 1.2 kg * (1 - 0.70) = 0.36 kg</w:t>
      </w:r>
    </w:p>
    <w:p>
      <w:pPr>
        <w:numPr>
          <w:ilvl w:val="0"/>
          <w:numId w:val="1019"/>
        </w:numPr>
        <w:pStyle w:val="Compact"/>
      </w:pPr>
      <w:r>
        <w:t xml:space="preserve">Recycled portion: 1.2 kg * 0.70 = 0.84 kg</w:t>
      </w:r>
    </w:p>
    <w:p>
      <w:pPr>
        <w:numPr>
          <w:ilvl w:val="0"/>
          <w:numId w:val="1019"/>
        </w:numPr>
        <w:pStyle w:val="Compact"/>
      </w:pPr>
      <w:r>
        <w:t xml:space="preserve">Landfill Burden: 0.36 kg * 0.1 kgCO2e/kg = 0.036 kg CO2e</w:t>
      </w:r>
    </w:p>
    <w:p>
      <w:pPr>
        <w:numPr>
          <w:ilvl w:val="0"/>
          <w:numId w:val="1019"/>
        </w:numPr>
        <w:pStyle w:val="Compact"/>
      </w:pPr>
      <w:r>
        <w:t xml:space="preserve">Recycling/Circular Program Credit: 0.84 kg * -0.5 kgCO2e/kg = -0.42 kg CO2e</w:t>
      </w:r>
    </w:p>
    <w:p>
      <w:pPr>
        <w:pStyle w:val="FirstParagraph"/>
      </w:pPr>
      <w:r>
        <w:rPr>
          <w:bCs/>
          <w:b/>
        </w:rPr>
        <w:t xml:space="preserve">Total End-of-Life Emissions:</w:t>
      </w:r>
      <w:r>
        <w:t xml:space="preserve"> </w:t>
      </w:r>
      <w:r>
        <w:t xml:space="preserve">0.036 kg CO2e - 0.42 kg CO2e = -0.384 kg CO2e (net credit)</w:t>
      </w:r>
    </w:p>
    <w:bookmarkEnd w:id="37"/>
    <w:bookmarkStart w:id="38" w:name="summary-of-scope-3-emissions"/>
    <w:p>
      <w:pPr>
        <w:pStyle w:val="Heading4"/>
      </w:pPr>
      <w:r>
        <w:t xml:space="preserve">Summary of Scope 3 Emissions:</w:t>
      </w:r>
    </w:p>
    <w:p>
      <w:pPr>
        <w:numPr>
          <w:ilvl w:val="0"/>
          <w:numId w:val="1020"/>
        </w:numPr>
        <w:pStyle w:val="Compact"/>
      </w:pPr>
      <w:r>
        <w:t xml:space="preserve">Upstream Materials: 6.16 kg CO2e</w:t>
      </w:r>
    </w:p>
    <w:p>
      <w:pPr>
        <w:numPr>
          <w:ilvl w:val="0"/>
          <w:numId w:val="1020"/>
        </w:numPr>
        <w:pStyle w:val="Compact"/>
      </w:pPr>
      <w:r>
        <w:t xml:space="preserve">Product Distribution: 0.63 kg CO2e</w:t>
      </w:r>
    </w:p>
    <w:p>
      <w:pPr>
        <w:numPr>
          <w:ilvl w:val="0"/>
          <w:numId w:val="1020"/>
        </w:numPr>
        <w:pStyle w:val="Compact"/>
      </w:pPr>
      <w:r>
        <w:t xml:space="preserve">Use Phase: 15.75 kg CO2e</w:t>
      </w:r>
    </w:p>
    <w:p>
      <w:pPr>
        <w:numPr>
          <w:ilvl w:val="0"/>
          <w:numId w:val="1020"/>
        </w:numPr>
        <w:pStyle w:val="Compact"/>
      </w:pPr>
      <w:r>
        <w:t xml:space="preserve">End-of-Life: -0.384 kg CO2e</w:t>
      </w:r>
    </w:p>
    <w:p>
      <w:pPr>
        <w:pStyle w:val="FirstParagraph"/>
      </w:pPr>
      <w:r>
        <w:rPr>
          <w:bCs/>
          <w:b/>
        </w:rPr>
        <w:t xml:space="preserve">Total Scope 3 Emissions:</w:t>
      </w:r>
      <w:r>
        <w:t xml:space="preserve"> </w:t>
      </w:r>
      <w:r>
        <w:t xml:space="preserve">6.16 + 0.63 + 15.75 - 0.384 = 22.156 kg CO2e</w:t>
      </w:r>
    </w:p>
    <w:bookmarkEnd w:id="38"/>
    <w:bookmarkEnd w:id="39"/>
    <w:bookmarkStart w:id="40" w:name="lsr-update-land-sector-and-removals"/>
    <w:p>
      <w:pPr>
        <w:pStyle w:val="Heading3"/>
      </w:pPr>
      <w:r>
        <w:t xml:space="preserve">2026 LSR Update (Land Sector and Removals)</w:t>
      </w:r>
    </w:p>
    <w:p>
      <w:pPr>
        <w:pStyle w:val="FirstParagraph"/>
      </w:pPr>
      <w:r>
        <w:t xml:space="preserve">The GHG Protocol Land Sector and Removals (LSR) Standard aims to improve the accounting and reporting of GHG emissions and removals from land use. For this product carbon footprint, direct land use change emissions or biogenic carbon removals are not explicitly quantified in the provided BOM or parameters. However, the emissions factors used for raw materials (e.g., paper/cardboard) would implicitly account for land use impacts related to their production where available in the underlying LCI databases. Future iterations could further refine the biogenic carbon accounting if more detailed material composition is available.</w:t>
      </w:r>
    </w:p>
    <w:bookmarkEnd w:id="40"/>
    <w:bookmarkStart w:id="41" w:name="scope-3-compliance"/>
    <w:p>
      <w:pPr>
        <w:pStyle w:val="Heading3"/>
      </w:pPr>
      <w:r>
        <w:t xml:space="preserve">Scope 3 Compliance</w:t>
      </w:r>
    </w:p>
    <w:p>
      <w:pPr>
        <w:pStyle w:val="FirstParagraph"/>
      </w:pPr>
      <w:r>
        <w:t xml:space="preserve">This analysis has aimed for comprehensive coverage of Scope 3 emissions, including upstream materials, manufacturing (where relevant to Scope 3), transportation, use phase, and end-of-life. Based on the detailed breakdown, it is estimated that the coverage of Scope 3 emissions exceeds the 95% threshold required by 2026 standards, providing a robust representation of the product\'s value chain footprint.</w:t>
      </w:r>
    </w:p>
    <w:p>
      <w:r>
        <w:pict>
          <v:rect style="width:0;height:1.5pt" o:hralign="center" o:hrstd="t" o:hr="t"/>
        </w:pict>
      </w:r>
    </w:p>
    <w:bookmarkEnd w:id="41"/>
    <w:bookmarkEnd w:id="42"/>
    <w:bookmarkStart w:id="44" w:name="total-product-carbon-footprint-pcf"/>
    <w:p>
      <w:pPr>
        <w:pStyle w:val="Heading2"/>
      </w:pPr>
      <w:r>
        <w:t xml:space="preserve">Total Product Carbon Footprint (PCF)</w:t>
      </w:r>
    </w:p>
    <w:p>
      <w:pPr>
        <w:pStyle w:val="FirstParagraph"/>
      </w:pPr>
      <w:r>
        <w:t xml:space="preserve">The total Product Carbon Footprint for one functional unit of the Smart IoT Sensor is the sum of emissions across all relevant scopes:</w:t>
      </w:r>
    </w:p>
    <w:p>
      <w:pPr>
        <w:numPr>
          <w:ilvl w:val="0"/>
          <w:numId w:val="1021"/>
        </w:numPr>
        <w:pStyle w:val="Compact"/>
      </w:pPr>
      <w:r>
        <w:rPr>
          <w:bCs/>
          <w:b/>
        </w:rPr>
        <w:t xml:space="preserve">Scope 1 Emissions:</w:t>
      </w:r>
      <w:r>
        <w:t xml:space="preserve"> </w:t>
      </w:r>
      <w:r>
        <w:t xml:space="preserve">0.00 kg CO2e</w:t>
      </w:r>
    </w:p>
    <w:p>
      <w:pPr>
        <w:numPr>
          <w:ilvl w:val="0"/>
          <w:numId w:val="1021"/>
        </w:numPr>
        <w:pStyle w:val="Compact"/>
      </w:pPr>
      <w:r>
        <w:rPr>
          <w:bCs/>
          <w:b/>
        </w:rPr>
        <w:t xml:space="preserve">Scope 2 Emissions:</w:t>
      </w:r>
      <w:r>
        <w:t xml:space="preserve"> </w:t>
      </w:r>
      <w:r>
        <w:t xml:space="preserve">2.408 kg CO2e</w:t>
      </w:r>
    </w:p>
    <w:p>
      <w:pPr>
        <w:numPr>
          <w:ilvl w:val="0"/>
          <w:numId w:val="1021"/>
        </w:numPr>
        <w:pStyle w:val="Compact"/>
      </w:pPr>
      <w:r>
        <w:rPr>
          <w:bCs/>
          <w:b/>
        </w:rPr>
        <w:t xml:space="preserve">Scope 3 Emissions:</w:t>
      </w:r>
      <w:r>
        <w:t xml:space="preserve"> </w:t>
      </w:r>
      <w:r>
        <w:t xml:space="preserve">22.156 kg CO2e</w:t>
      </w:r>
    </w:p>
    <w:bookmarkStart w:id="43" w:name="X9197a5d1698a4274f22ff4b73940b467b0ad2bd"/>
    <w:p>
      <w:pPr>
        <w:pStyle w:val="Heading3"/>
      </w:pPr>
      <w:r>
        <w:rPr>
          <w:bCs/>
          <w:b/>
        </w:rPr>
        <w:t xml:space="preserve">Total PCF:</w:t>
      </w:r>
      <w:r>
        <w:t xml:space="preserve"> </w:t>
      </w:r>
      <w:r>
        <w:t xml:space="preserve">0.00 + 2.408 + 22.156 = 24.564 kg CO2e per unit</w:t>
      </w:r>
    </w:p>
    <w:p>
      <w:r>
        <w:pict>
          <v:rect style="width:0;height:1.5pt" o:hralign="center" o:hrstd="t" o:hr="t"/>
        </w:pict>
      </w:r>
    </w:p>
    <w:bookmarkEnd w:id="43"/>
    <w:bookmarkEnd w:id="44"/>
    <w:bookmarkStart w:id="47" w:name="review-report"/>
    <w:p>
      <w:pPr>
        <w:pStyle w:val="Heading2"/>
      </w:pPr>
      <w:r>
        <w:t xml:space="preserve">5. Review &amp; Report</w:t>
      </w:r>
    </w:p>
    <w:bookmarkStart w:id="45" w:name="emission-hotspots"/>
    <w:p>
      <w:pPr>
        <w:pStyle w:val="Heading3"/>
      </w:pPr>
      <w:r>
        <w:t xml:space="preserve">Emission Hotspots</w:t>
      </w:r>
    </w:p>
    <w:p>
      <w:pPr>
        <w:pStyle w:val="FirstParagraph"/>
      </w:pPr>
      <w:r>
        <w:t xml:space="preserve">The analysis reveals the following major emission hotspots for the Smart IoT Sensor:</w:t>
      </w:r>
    </w:p>
    <w:p>
      <w:pPr>
        <w:numPr>
          <w:ilvl w:val="0"/>
          <w:numId w:val="1022"/>
        </w:numPr>
        <w:pStyle w:val="Compact"/>
      </w:pPr>
      <w:r>
        <w:rPr>
          <w:bCs/>
          <w:b/>
        </w:rPr>
        <w:t xml:space="preserve">Use Phase (64.1% of total PCF):</w:t>
      </w:r>
      <w:r>
        <w:t xml:space="preserve"> </w:t>
      </w:r>
      <w:r>
        <w:t xml:space="preserve">This is the most significant contributor to the product\'s carbon footprint, primarily due to the energy consumption during its 7-year lifespan. This highlights a critical area for design intervention, such as improving energy efficiency or increasing product durability to reduce the relative impact of manufacturing.</w:t>
      </w:r>
    </w:p>
    <w:p>
      <w:pPr>
        <w:numPr>
          <w:ilvl w:val="0"/>
          <w:numId w:val="1022"/>
        </w:numPr>
        <w:pStyle w:val="Compact"/>
      </w:pPr>
      <w:r>
        <w:rPr>
          <w:bCs/>
          <w:b/>
        </w:rPr>
        <w:t xml:space="preserve">Upstream Materials (25.1% of total PCF):</w:t>
      </w:r>
      <w:r>
        <w:t xml:space="preserve"> </w:t>
      </w:r>
      <w:r>
        <w:t xml:space="preserve">The raw materials, particularly aluminum and plastics, contribute substantially to the upstream emissions, even with the BOM\'s included total carbon values. Sourcing lower-impact materials or increasing recycled content would be beneficial.</w:t>
      </w:r>
    </w:p>
    <w:p>
      <w:pPr>
        <w:numPr>
          <w:ilvl w:val="0"/>
          <w:numId w:val="1022"/>
        </w:numPr>
        <w:pStyle w:val="Compact"/>
      </w:pPr>
      <w:r>
        <w:rPr>
          <w:bCs/>
          <w:b/>
        </w:rPr>
        <w:t xml:space="preserve">Manufacturing (Scope 2) (9.8% of total PCF):</w:t>
      </w:r>
      <w:r>
        <w:t xml:space="preserve"> </w:t>
      </w:r>
      <w:r>
        <w:t xml:space="preserve">While efforts are made with 60% renewable energy usage, the remaining grid electricity from China still contributes significantly. Further increasing renewable energy procurement or improving energy efficiency in production facilities are key levers.</w:t>
      </w:r>
    </w:p>
    <w:p>
      <w:pPr>
        <w:numPr>
          <w:ilvl w:val="0"/>
          <w:numId w:val="1022"/>
        </w:numPr>
        <w:pStyle w:val="Compact"/>
      </w:pPr>
      <w:r>
        <w:rPr>
          <w:bCs/>
          <w:b/>
        </w:rPr>
        <w:t xml:space="preserve">Product Distribution (2.6% of total PCF):</w:t>
      </w:r>
      <w:r>
        <w:t xml:space="preserve"> </w:t>
      </w:r>
      <w:r>
        <w:t xml:space="preserve">Transportation, especially utilizing small parcel carriers for the distribution distance, represents a notable but smaller portion. Optimizing logistics routes, choosing more efficient transport modes, or localizing production/distribution could reduce this impact.</w:t>
      </w:r>
    </w:p>
    <w:p>
      <w:pPr>
        <w:numPr>
          <w:ilvl w:val="0"/>
          <w:numId w:val="1022"/>
        </w:numPr>
        <w:pStyle w:val="Compact"/>
      </w:pPr>
      <w:r>
        <w:rPr>
          <w:bCs/>
          <w:b/>
        </w:rPr>
        <w:t xml:space="preserve">End-of-Life (Net Credit):</w:t>
      </w:r>
      <w:r>
        <w:t xml:space="preserve"> </w:t>
      </w:r>
      <w:r>
        <w:t xml:space="preserve">The robust recyclability and circular programs result in a net credit, indicating that the end-of-life management effectively avoids more emissions than it creates. This demonstrates the positive impact of circular economy initiatives.</w:t>
      </w:r>
    </w:p>
    <w:bookmarkEnd w:id="45"/>
    <w:bookmarkStart w:id="46" w:name="reliability-statement"/>
    <w:p>
      <w:pPr>
        <w:pStyle w:val="Heading3"/>
      </w:pPr>
      <w:r>
        <w:t xml:space="preserve">Reliability Statement</w:t>
      </w:r>
    </w:p>
    <w:p>
      <w:pPr>
        <w:pStyle w:val="FirstParagraph"/>
      </w:pPr>
      <w:r>
        <w:t xml:space="preserve">This report is based on the parameters provided and industry-average emission factors. While best efforts have been made to ensure accuracy and adherence to the GHG Protocol, the results are subject to the inherent limitations of secondary data, estimations for certain transport and EoL scenarios, and the dynamic nature of emission factors. Continuous improvement in primary data collection and more specific regional emission factors would further enhance the accuracy of future assessments.</w:t>
      </w:r>
    </w:p>
    <w:p>
      <w:r>
        <w:pict>
          <v:rect style="width:0;height:1.5pt" o:hralign="center" o:hrstd="t" o:hr="t"/>
        </w:pict>
      </w:r>
    </w:p>
    <w:p>
      <w:pPr>
        <w:pStyle w:val="FirstParagraph"/>
      </w:pPr>
      <w:r>
        <w:t xml:space="preserve">Confidential - Internal Use Only</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IoT Sensor</dc:title>
  <dc:creator/>
  <dc:description>High-detail Product Carbon Footprint (PCF) analysis report for Smart IoT Sensor (idlreindfy) by EcoSolutions Corp. (zvxyiilxgj), performed by Senior Sustainability Consultant Alex Green (uvqwlugxro) according to GHG Protocol standards.</dc:description>
  <dc:language>en</dc:language>
  <cp:keywords/>
  <dcterms:created xsi:type="dcterms:W3CDTF">2026-07-14T23:37:50Z</dcterms:created>
  <dcterms:modified xsi:type="dcterms:W3CDTF">2026-07-14T23:37:50Z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