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Device</w:t>
      </w:r>
      <w:r>
        <w:t xml:space="preserve"> </w:t>
      </w:r>
      <w:r>
        <w:t xml:space="preserve">(xsfznovmff)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xsfznovmff (Smart IoT Device)</w:t>
      </w:r>
    </w:p>
    <w:p>
      <w:pPr>
        <w:pStyle w:val="BodyText"/>
      </w:pPr>
      <w:r>
        <w:t xml:space="preserve">Company Name: pppuglfpxe</w:t>
      </w:r>
    </w:p>
    <w:p>
      <w:pPr>
        <w:pStyle w:val="BodyText"/>
      </w:pPr>
      <w:r>
        <w:t xml:space="preserve">Senior Sustainability Consultant: syxzdpixdu</w:t>
      </w:r>
    </w:p>
    <w:p>
      <w:pPr>
        <w:pStyle w:val="BodyText"/>
      </w:pPr>
      <w:r>
        <w:t xml:space="preserve">Protocol Data (Accounting Standard): GHG Protocol</w:t>
      </w:r>
    </w:p>
    <w:p>
      <w:pPr>
        <w:pStyle w:val="BodyText"/>
      </w:pPr>
      <w:r>
        <w:t xml:space="preserve">Disclaimer: This report is generated based on available data and industry standards, supplemented by specific parameters provided. While every effort has been made to ensure accuracy, the results are indicative and subject to the limitations of the input data and chosen methodologies.</w:t>
      </w:r>
    </w:p>
    <w:p>
      <w:pPr>
        <w:pStyle w:val="BodyText"/>
      </w:pPr>
      <w:r>
        <w:t xml:space="preserve">Generated Date: May 20, 2026</w:t>
      </w:r>
    </w:p>
    <w:bookmarkEnd w:id="20"/>
    <w:bookmarkStart w:id="46" w:name="executive-summary"/>
    <w:p>
      <w:pPr>
        <w:pStyle w:val="Heading1"/>
      </w:pPr>
      <w:r>
        <w:t xml:space="preserve">Executive Summary</w:t>
      </w:r>
    </w:p>
    <w:p>
      <w:pPr>
        <w:pStyle w:val="FirstParagraph"/>
      </w:pPr>
      <w:r>
        <w:t xml:space="preserve">This report presents a detailed Product Carbon Footprint (PCF) analysis for xsfznovmff, a Smart IoT Device manufactured by pppuglfpxe. The analysis, conducted by Senior Sustainability Consultant syxzdpixdu, adheres strictly to the GHG Protocol and incorporates the latest 2026 Land Sector and Removals (LSR) Standard updates. The primary objective is to quantify the greenhouse gas emissions associated with the product\'s entire lifecycle, from raw material acquisition to end-of-life, within a \'factory-gate\' system boundary for the core production and an expanded scope for downstream emissions. This assessment aims to identify significant emission hotspots and provide actionable insights for environmental performance improvement and enhanced transparency.</w:t>
      </w:r>
    </w:p>
    <w:p>
      <w:pPr>
        <w:pStyle w:val="BodyText"/>
      </w:pPr>
      <w:r>
        <w:t xml:space="preserve">Based on the defined scope and collected data, the total Product Carbon Footprint for one functional unit of xsfznovmff is calculated to be</w:t>
      </w:r>
      <w:r>
        <w:t xml:space="preserve"> </w:t>
      </w:r>
      <w:r>
        <w:rPr>
          <w:bCs/>
          <w:b/>
        </w:rPr>
        <w:t xml:space="preserve">XX.XX kgCO2e</w:t>
      </w:r>
      <w:r>
        <w:t xml:space="preserve"> </w:t>
      </w:r>
      <w:r>
        <w:t xml:space="preserve">(Detailed calculation provided in Section 4). The primary emission hotspots are identified in the manufacturing and use phases, largely driven by energy consumption and specific material choices.</w:t>
      </w:r>
    </w:p>
    <w:p>
      <w:r>
        <w:pict>
          <v:rect style="width:0;height:1.5pt" o:hralign="center" o:hrstd="t" o:hr="t"/>
        </w:pict>
      </w:r>
    </w:p>
    <w:bookmarkStart w:id="21" w:name="define-scope"/>
    <w:p>
      <w:pPr>
        <w:pStyle w:val="Heading2"/>
      </w:pPr>
      <w:r>
        <w:t xml:space="preserve">1. Define Scope</w:t>
      </w:r>
    </w:p>
    <w:p>
      <w:pPr>
        <w:pStyle w:val="FirstParagraph"/>
      </w:pPr>
      <w:r>
        <w:t xml:space="preserve">This section outlines the foundational parameters that define the boundaries and methodologies for the Product Carbon Footprint (PCF) analysis of xsfznovmff.</w:t>
      </w:r>
    </w:p>
    <w:p>
      <w:pPr>
        <w:numPr>
          <w:ilvl w:val="0"/>
          <w:numId w:val="1001"/>
        </w:numPr>
        <w:pStyle w:val="Compact"/>
      </w:pPr>
      <w:r>
        <w:rPr>
          <w:bCs/>
          <w:b/>
        </w:rPr>
        <w:t xml:space="preserve">Functional Unit:</w:t>
      </w:r>
      <w:r>
        <w:t xml:space="preserve"> </w:t>
      </w:r>
      <w:r>
        <w:t xml:space="preserve">The reference unit for this PCF study is</w:t>
      </w:r>
      <w:r>
        <w:t xml:space="preserve"> </w:t>
      </w:r>
      <w:r>
        <w:rPr>
          <w:bCs/>
          <w:b/>
        </w:rPr>
        <w:t xml:space="preserve">1.0 unit</w:t>
      </w:r>
      <w:r>
        <w:t xml:space="preserve"> </w:t>
      </w:r>
      <w:r>
        <w:t xml:space="preserve">of the xsfznovmff (Smart IoT Device). All emissions are calculated per this functional unit.</w:t>
      </w:r>
    </w:p>
    <w:p>
      <w:pPr>
        <w:numPr>
          <w:ilvl w:val="0"/>
          <w:numId w:val="1001"/>
        </w:numPr>
        <w:pStyle w:val="Compact"/>
      </w:pPr>
      <w:r>
        <w:rPr>
          <w:bCs/>
          <w:b/>
        </w:rPr>
        <w:t xml:space="preserve">System Boundary:</w:t>
      </w:r>
      <w:r>
        <w:t xml:space="preserve"> </w:t>
      </w:r>
      <w:r>
        <w:t xml:space="preserve">The primary system boundary for the core product manufacturing is</w:t>
      </w:r>
      <w:r>
        <w:t xml:space="preserve"> </w:t>
      </w:r>
      <w:r>
        <w:rPr>
          <w:bCs/>
          <w:b/>
        </w:rPr>
        <w:t xml:space="preserve">\'factory_gate\'</w:t>
      </w:r>
      <w:r>
        <w:t xml:space="preserve">, encompassing all processes from raw material extraction to the final product leaving the manufacturing facility in China. Additionally, significant downstream Scope 3 emissions (transport to market, use phase, and end-of-life) are included to provide a comprehensive cradle-to-grave perspective for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distribution to end-users).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 This report also incorporates the 2026 Land Sector and Removals (LSR) Standard for any relevant land-use and carbon removal aspects, though specific LSR data beyond general adherence is not detailed without further input.</w:t>
      </w:r>
    </w:p>
    <w:p>
      <w:pPr>
        <w:numPr>
          <w:ilvl w:val="0"/>
          <w:numId w:val="1001"/>
        </w:numPr>
        <w:pStyle w:val="Compact"/>
      </w:pPr>
      <w:r>
        <w:rPr>
          <w:bCs/>
          <w:b/>
        </w:rPr>
        <w:t xml:space="preserve">Allocation:</w:t>
      </w:r>
      <w:r>
        <w:t xml:space="preserve"> </w:t>
      </w:r>
      <w:r>
        <w:t xml:space="preserve">For multi-output processes, emissions are allocated based on physical allocation (e.g., mass) where appropriate, especially for material processing. Specific allocation rules for shared facilities or processes are assumed to follow GHG Protocol guidance for consistent and transparent reporting.</w:t>
      </w:r>
    </w:p>
    <w:p>
      <w:r>
        <w:pict>
          <v:rect style="width:0;height:1.5pt" o:hralign="center" o:hrstd="t" o:hr="t"/>
        </w:pict>
      </w:r>
    </w:p>
    <w:bookmarkEnd w:id="21"/>
    <w:bookmarkStart w:id="27" w:name="map-lifecycle-lci-inventory-stages"/>
    <w:p>
      <w:pPr>
        <w:pStyle w:val="Heading2"/>
      </w:pPr>
      <w:r>
        <w:t xml:space="preserve">2. Map Lifecycle (LCI Inventory Stages)</w:t>
      </w:r>
    </w:p>
    <w:p>
      <w:pPr>
        <w:pStyle w:val="FirstParagraph"/>
      </w:pPr>
      <w:r>
        <w:t xml:space="preserve">The lifecycle of xsfznovmff has been mapped into distinct stages to systematically collect and quantify greenhouse gas emissions. The primary stages considered are Material Acquisition &amp; Pre-processing, Manufacturing, Transport (Inbound &amp; Outbound), Use Phase, and End-of-Life.</w:t>
      </w:r>
    </w:p>
    <w:bookmarkStart w:id="22" w:name="X1428ec1d1885feb992205144a5c6ed055eb01cb"/>
    <w:p>
      <w:pPr>
        <w:pStyle w:val="Heading3"/>
      </w:pPr>
      <w:r>
        <w:t xml:space="preserve">Material Inputs (Detailed Bill of Materials - BOM)</w:t>
      </w:r>
    </w:p>
    <w:p>
      <w:pPr>
        <w:pStyle w:val="FirstParagraph"/>
      </w:pPr>
      <w:r>
        <w:t xml:space="preserve">The following table provides a detailed breakdown of materials used in one unit of xsfznovmff, including their individual carbon impact, as per the provided BOM (wyzunzfp). This forms a significant portion of Scope 3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4.20</w:t>
            </w:r>
          </w:p>
        </w:tc>
        <w:tc>
          <w:tcPr/>
          <w:p>
            <w:pPr>
              <w:pStyle w:val="Compact"/>
              <w:jc w:val="left"/>
            </w:pPr>
            <w:r>
              <w:t xml:space="preserve">0.042</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Chip 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0.250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0.036</w:t>
            </w:r>
          </w:p>
        </w:tc>
      </w:tr>
      <w:tr>
        <w:tc>
          <w:tcPr/>
          <w:p>
            <w:pPr>
              <w:pStyle w:val="Compact"/>
              <w:jc w:val="left"/>
            </w:pPr>
            <w:r>
              <w:t xml:space="preserve">M007</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7.50</w:t>
            </w:r>
          </w:p>
        </w:tc>
        <w:tc>
          <w:tcPr/>
          <w:p>
            <w:pPr>
              <w:pStyle w:val="Compact"/>
              <w:jc w:val="left"/>
            </w:pPr>
            <w:r>
              <w:t xml:space="preserve">0.300</w:t>
            </w:r>
          </w:p>
        </w:tc>
      </w:tr>
      <w:tr>
        <w:tc>
          <w:tcPr/>
          <w:p>
            <w:pPr>
              <w:pStyle w:val="Compact"/>
              <w:jc w:val="left"/>
            </w:pPr>
            <w:r>
              <w:t xml:space="preserve">M008</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gridSpan w:val="7"/>
          </w:tcPr>
          <w:p>
            <w:pPr>
              <w:pStyle w:val="Compact"/>
              <w:jc w:val="right"/>
            </w:pPr>
            <w:r>
              <w:t xml:space="preserve">Total Material Carbon Impact:</w:t>
            </w:r>
          </w:p>
        </w:tc>
        <w:tc>
          <w:tcPr/>
          <w:p>
            <w:pPr>
              <w:pStyle w:val="Compact"/>
              <w:jc w:val="left"/>
            </w:pPr>
            <w:r>
              <w:rPr>
                <w:bCs/>
                <w:b/>
              </w:rPr>
              <w:t xml:space="preserve">1.977</w:t>
            </w:r>
          </w:p>
        </w:tc>
      </w:tr>
      <w:tr>
        <w:tc>
          <w:tcPr>
            <w:gridSpan w:val="7"/>
          </w:tcPr>
          <w:p>
            <w:pPr>
              <w:pStyle w:val="Compact"/>
              <w:jc w:val="right"/>
            </w:pPr>
            <w:r>
              <w:t xml:space="preserve">Total Product Weight (excl. packaging):</w:t>
            </w:r>
          </w:p>
        </w:tc>
        <w:tc>
          <w:tcPr/>
          <w:p>
            <w:pPr>
              <w:pStyle w:val="Compact"/>
              <w:jc w:val="left"/>
            </w:pPr>
            <w:r>
              <w:rPr>
                <w:bCs/>
                <w:b/>
              </w:rPr>
              <w:t xml:space="preserve">0.305 kg</w:t>
            </w:r>
          </w:p>
        </w:tc>
      </w:tr>
      <w:tr>
        <w:tc>
          <w:tcPr>
            <w:gridSpan w:val="7"/>
          </w:tcPr>
          <w:p>
            <w:pPr>
              <w:pStyle w:val="Compact"/>
              <w:jc w:val="right"/>
            </w:pPr>
            <w:r>
              <w:t xml:space="preserve">Total Product Weight (incl. packaging):</w:t>
            </w:r>
          </w:p>
        </w:tc>
        <w:tc>
          <w:tcPr/>
          <w:p>
            <w:pPr>
              <w:pStyle w:val="Compact"/>
              <w:jc w:val="left"/>
            </w:pPr>
            <w:r>
              <w:rPr>
                <w:bCs/>
                <w:b/>
              </w:rPr>
              <w:t xml:space="preserve">0.385 kg</w:t>
            </w:r>
          </w:p>
        </w:tc>
      </w:tr>
    </w:tbl>
    <w:bookmarkEnd w:id="22"/>
    <w:bookmarkStart w:id="23" w:name="energy-inputs-production-phase"/>
    <w:p>
      <w:pPr>
        <w:pStyle w:val="Heading3"/>
      </w:pPr>
      <w:r>
        <w:t xml:space="preserve">Energy Inputs (Production Phase)</w:t>
      </w:r>
    </w:p>
    <w:p>
      <w:pPr>
        <w:pStyle w:val="FirstParagraph"/>
      </w:pPr>
      <w:r>
        <w:t xml:space="preserve">The energy consumed during the manufacturing processes within the factory gate is a critical input. This includes electricity for machinery, heating, and lighting. The energy mix at the production facility plays a significant role in the overall footprint.</w:t>
      </w:r>
    </w:p>
    <w:p>
      <w:pPr>
        <w:numPr>
          <w:ilvl w:val="0"/>
          <w:numId w:val="1003"/>
        </w:numPr>
        <w:pStyle w:val="Compact"/>
      </w:pPr>
      <w:r>
        <w:rPr>
          <w:bCs/>
          <w:b/>
        </w:rPr>
        <w:t xml:space="preserve">Energy Intensity (kWh/unit):</w:t>
      </w:r>
      <w:r>
        <w:t xml:space="preserve"> </w:t>
      </w:r>
      <w:r>
        <w:t xml:space="preserve">ongdzsyqxf (Assumed: 15 kWh/unit)</w:t>
      </w:r>
    </w:p>
    <w:p>
      <w:pPr>
        <w:numPr>
          <w:ilvl w:val="0"/>
          <w:numId w:val="1003"/>
        </w:numPr>
        <w:pStyle w:val="Compact"/>
      </w:pPr>
      <w:r>
        <w:rPr>
          <w:bCs/>
          <w:b/>
        </w:rPr>
        <w:t xml:space="preserve">Renewable Energy Usage:</w:t>
      </w:r>
      <w:r>
        <w:t xml:space="preserve"> </w:t>
      </w:r>
      <w:r>
        <w:t xml:space="preserve">ohvpiqprlj (Assumed: 70%) - This percentage of the total energy consumed is sourced from renewable energy, reducing grid electricity reliance.</w:t>
      </w:r>
    </w:p>
    <w:p>
      <w:pPr>
        <w:numPr>
          <w:ilvl w:val="0"/>
          <w:numId w:val="1003"/>
        </w:numPr>
        <w:pStyle w:val="Compact"/>
      </w:pPr>
      <w:r>
        <w:rPr>
          <w:bCs/>
          <w:b/>
        </w:rPr>
        <w:t xml:space="preserve">Grid Electricity for Production:</w:t>
      </w:r>
      <w:r>
        <w:t xml:space="preserve"> </w:t>
      </w:r>
      <w:r>
        <w:t xml:space="preserve">30% of 15 kWh/unit = 4.5 kWh/unit</w:t>
      </w:r>
    </w:p>
    <w:p>
      <w:pPr>
        <w:numPr>
          <w:ilvl w:val="0"/>
          <w:numId w:val="1003"/>
        </w:numPr>
        <w:pStyle w:val="Compact"/>
      </w:pPr>
      <w:r>
        <w:rPr>
          <w:bCs/>
          <w:b/>
        </w:rPr>
        <w:t xml:space="preserve">Renewable Electricity for Production:</w:t>
      </w:r>
      <w:r>
        <w:t xml:space="preserve"> </w:t>
      </w:r>
      <w:r>
        <w:t xml:space="preserve">70% of 15 kWh/unit = 10.5 kWh/unit</w:t>
      </w:r>
    </w:p>
    <w:bookmarkEnd w:id="23"/>
    <w:bookmarkStart w:id="24" w:name="logistics-data-transport"/>
    <w:p>
      <w:pPr>
        <w:pStyle w:val="Heading3"/>
      </w:pPr>
      <w:r>
        <w:t xml:space="preserve">Logistics Data (Transport)</w:t>
      </w:r>
    </w:p>
    <w:p>
      <w:pPr>
        <w:pStyle w:val="FirstParagraph"/>
      </w:pPr>
      <w:r>
        <w:t xml:space="preserve">Transportation activities occur at multiple stages, from raw material sourcing to final product delivery. These are significant contributors to Scope 3 emissions.</w:t>
      </w:r>
    </w:p>
    <w:p>
      <w:pPr>
        <w:numPr>
          <w:ilvl w:val="0"/>
          <w:numId w:val="1004"/>
        </w:numPr>
        <w:pStyle w:val="Compact"/>
      </w:pPr>
      <w:r>
        <w:rPr>
          <w:bCs/>
          <w:b/>
        </w:rPr>
        <w:t xml:space="preserve">Inbound Transport Mode (components to China factory):</w:t>
      </w:r>
      <w:r>
        <w:t xml:space="preserve"> </w:t>
      </w:r>
      <w:r>
        <w:t xml:space="preserve">Select Mode (Assumed: Road Freight - Heavy Goods Vehicle, &gt;20t)</w:t>
      </w:r>
    </w:p>
    <w:p>
      <w:pPr>
        <w:numPr>
          <w:ilvl w:val="0"/>
          <w:numId w:val="1004"/>
        </w:numPr>
        <w:pStyle w:val="Compact"/>
      </w:pPr>
      <w:r>
        <w:rPr>
          <w:bCs/>
          <w:b/>
        </w:rPr>
        <w:t xml:space="preserve">Inbound Transport Distance:</w:t>
      </w:r>
      <w:r>
        <w:t xml:space="preserve"> </w:t>
      </w:r>
      <w:r>
        <w:t xml:space="preserve">yjpyssevrn (Assumed: 1000 km, representing average for key components within Asia/Europe)</w:t>
      </w:r>
    </w:p>
    <w:p>
      <w:pPr>
        <w:numPr>
          <w:ilvl w:val="0"/>
          <w:numId w:val="1004"/>
        </w:numPr>
        <w:pStyle w:val="Compact"/>
      </w:pPr>
      <w:r>
        <w:rPr>
          <w:bCs/>
          <w:b/>
        </w:rPr>
        <w:t xml:space="preserve">Last-Mile Delivery Channel (to end-user in Europe):</w:t>
      </w:r>
      <w:r>
        <w:t xml:space="preserve"> </w:t>
      </w:r>
      <w:r>
        <w:t xml:space="preserve">Delivery Type (Assumed: Small Parcel Delivery Van - Diesel)</w:t>
      </w:r>
    </w:p>
    <w:p>
      <w:pPr>
        <w:numPr>
          <w:ilvl w:val="0"/>
          <w:numId w:val="1004"/>
        </w:numPr>
        <w:pStyle w:val="Compact"/>
      </w:pPr>
      <w:r>
        <w:rPr>
          <w:bCs/>
          <w:b/>
        </w:rPr>
        <w:t xml:space="preserve">Last-Mile Delivery Distance:</w:t>
      </w:r>
      <w:r>
        <w:t xml:space="preserve"> </w:t>
      </w:r>
      <w:r>
        <w:t xml:space="preserve">Assumed 100 km (average for local parcel delivery)</w:t>
      </w:r>
    </w:p>
    <w:bookmarkEnd w:id="24"/>
    <w:bookmarkStart w:id="25" w:name="use-phase-data"/>
    <w:p>
      <w:pPr>
        <w:pStyle w:val="Heading3"/>
      </w:pPr>
      <w:r>
        <w:t xml:space="preserve">Use Phase Data</w:t>
      </w:r>
    </w:p>
    <w:p>
      <w:pPr>
        <w:pStyle w:val="FirstParagraph"/>
      </w:pPr>
      <w:r>
        <w:t xml:space="preserve">The emissions during the product\'s operational life are accounted for, primarily from energy consumption by the end-user.</w:t>
      </w:r>
    </w:p>
    <w:p>
      <w:pPr>
        <w:numPr>
          <w:ilvl w:val="0"/>
          <w:numId w:val="1005"/>
        </w:numPr>
        <w:pStyle w:val="Compact"/>
      </w:pPr>
      <w:r>
        <w:rPr>
          <w:bCs/>
          <w:b/>
        </w:rPr>
        <w:t xml:space="preserve">Product Lifespan:</w:t>
      </w:r>
      <w:r>
        <w:t xml:space="preserve"> </w:t>
      </w:r>
      <w:r>
        <w:t xml:space="preserve">eovvmhuujj (Assumed: 5 years)</w:t>
      </w:r>
    </w:p>
    <w:p>
      <w:pPr>
        <w:numPr>
          <w:ilvl w:val="0"/>
          <w:numId w:val="1005"/>
        </w:numPr>
        <w:pStyle w:val="Compact"/>
      </w:pPr>
      <w:r>
        <w:rPr>
          <w:bCs/>
          <w:b/>
        </w:rPr>
        <w:t xml:space="preserve">Energy Consumption in Use (Annual):</w:t>
      </w:r>
      <w:r>
        <w:t xml:space="preserve"> </w:t>
      </w:r>
      <w:r>
        <w:t xml:space="preserve">mrnzuglslm (Assumed: 5 kWh/year)</w:t>
      </w:r>
    </w:p>
    <w:p>
      <w:pPr>
        <w:numPr>
          <w:ilvl w:val="0"/>
          <w:numId w:val="1005"/>
        </w:numPr>
        <w:pStyle w:val="Compact"/>
      </w:pPr>
      <w:r>
        <w:rPr>
          <w:bCs/>
          <w:b/>
        </w:rPr>
        <w:t xml:space="preserve">Total Energy Consumption over Lifespan:</w:t>
      </w:r>
      <w:r>
        <w:t xml:space="preserve"> </w:t>
      </w:r>
      <w:r>
        <w:t xml:space="preserve">5 years * 5 kWh/year = 25 kWh</w:t>
      </w:r>
    </w:p>
    <w:bookmarkEnd w:id="25"/>
    <w:bookmarkStart w:id="26" w:name="end-of-life-eol-scenarios"/>
    <w:p>
      <w:pPr>
        <w:pStyle w:val="Heading3"/>
      </w:pPr>
      <w:r>
        <w:t xml:space="preserve">End-of-Life (EoL) Scenarios</w:t>
      </w:r>
    </w:p>
    <w:p>
      <w:pPr>
        <w:pStyle w:val="FirstParagraph"/>
      </w:pPr>
      <w:r>
        <w:t xml:space="preserve">The fate of the product at the end of its useful life impacts its overall footprint, with circular economy principles offering significant mitigation potential.</w:t>
      </w:r>
    </w:p>
    <w:p>
      <w:pPr>
        <w:numPr>
          <w:ilvl w:val="0"/>
          <w:numId w:val="1006"/>
        </w:numPr>
        <w:pStyle w:val="Compact"/>
      </w:pPr>
      <w:r>
        <w:rPr>
          <w:bCs/>
          <w:b/>
        </w:rPr>
        <w:t xml:space="preserve">Recyclability Percentage:</w:t>
      </w:r>
      <w:r>
        <w:t xml:space="preserve"> </w:t>
      </w:r>
      <w:r>
        <w:t xml:space="preserve">wpouqdstjq (Assumed: 80% by mass of the product)</w:t>
      </w:r>
    </w:p>
    <w:p>
      <w:pPr>
        <w:numPr>
          <w:ilvl w:val="0"/>
          <w:numId w:val="1006"/>
        </w:numPr>
        <w:pStyle w:val="Compact"/>
      </w:pPr>
      <w:r>
        <w:rPr>
          <w:bCs/>
          <w:b/>
        </w:rPr>
        <w:t xml:space="preserve">Circular/Take-back Programs:</w:t>
      </w:r>
      <w:r>
        <w:t xml:space="preserve"> </w:t>
      </w:r>
      <w:r>
        <w:t xml:space="preserve">ueneroeedr (Assumed: Formal Take-back Program in place)</w:t>
      </w:r>
    </w:p>
    <w:p>
      <w:pPr>
        <w:numPr>
          <w:ilvl w:val="0"/>
          <w:numId w:val="1006"/>
        </w:numPr>
        <w:pStyle w:val="Compact"/>
      </w:pPr>
      <w:r>
        <w:rPr>
          <w:bCs/>
          <w:b/>
        </w:rPr>
        <w:t xml:space="preserve">Disposal (non-recycled):</w:t>
      </w:r>
      <w:r>
        <w:t xml:space="preserve"> </w:t>
      </w:r>
      <w:r>
        <w:t xml:space="preserve">20% by mass (Assumed: Landfill for residual waste)</w:t>
      </w:r>
    </w:p>
    <w:p>
      <w:r>
        <w:pict>
          <v:rect style="width:0;height:1.5pt" o:hralign="center" o:hrstd="t" o:hr="t"/>
        </w:pict>
      </w:r>
    </w:p>
    <w:bookmarkEnd w:id="26"/>
    <w:bookmarkEnd w:id="27"/>
    <w:bookmarkStart w:id="30" w:name="Xb57f50a89bf1f3f1837369be949d9d60d6c1272"/>
    <w:p>
      <w:pPr>
        <w:pStyle w:val="Heading2"/>
      </w:pPr>
      <w:r>
        <w:t xml:space="preserve">3. Collect Data (Primary/Secondary Data Points)</w:t>
      </w:r>
    </w:p>
    <w:p>
      <w:pPr>
        <w:pStyle w:val="FirstParagraph"/>
      </w:pPr>
      <w:r>
        <w:t xml:space="preserve">Data collection for this PCF analysis involved leveraging primary data provided (BOM, energy usage, transport, EoL) and supplementing with reliable secondary data from industry-standard databases for emission factors where primary data was not available or specifically requested for generic inputs. This approach ensures a balance between specificity and practicality.</w:t>
      </w:r>
    </w:p>
    <w:bookmarkStart w:id="28" w:name="primary-data-sources"/>
    <w:p>
      <w:pPr>
        <w:pStyle w:val="Heading3"/>
      </w:pPr>
      <w:r>
        <w:t xml:space="preserve">Primary Data Sources:</w:t>
      </w:r>
    </w:p>
    <w:p>
      <w:pPr>
        <w:numPr>
          <w:ilvl w:val="0"/>
          <w:numId w:val="1007"/>
        </w:numPr>
        <w:pStyle w:val="Compact"/>
      </w:pPr>
      <w:r>
        <w:rPr>
          <w:bCs/>
          <w:b/>
        </w:rPr>
        <w:t xml:space="preserve">Bill of Materials (BOM):</w:t>
      </w:r>
      <w:r>
        <w:t xml:space="preserve"> </w:t>
      </w:r>
      <w:r>
        <w:t xml:space="preserve">Detailed list of materials (ID, Description, Category, Process, Qty, Unit, Emission Factor, Total Carbon) directly used for material impact calculations. The \'Emission Factor\' and \'Total Carbon\' values provided in the BOM are considered primary for those specific components.</w:t>
      </w:r>
    </w:p>
    <w:p>
      <w:pPr>
        <w:numPr>
          <w:ilvl w:val="0"/>
          <w:numId w:val="1007"/>
        </w:numPr>
        <w:pStyle w:val="Compact"/>
      </w:pPr>
      <w:r>
        <w:rPr>
          <w:bCs/>
          <w:b/>
        </w:rPr>
        <w:t xml:space="preserve">Production Energy Customization:</w:t>
      </w:r>
      <w:r>
        <w:t xml:space="preserve"> </w:t>
      </w:r>
      <w:r>
        <w:t xml:space="preserve">Percentage of renewable energy usage (ohvpiqprlj) and overall energy intensity (ongdzsyqxf) for the manufacturing facility.</w:t>
      </w:r>
    </w:p>
    <w:p>
      <w:pPr>
        <w:numPr>
          <w:ilvl w:val="0"/>
          <w:numId w:val="1007"/>
        </w:numPr>
        <w:pStyle w:val="Compact"/>
      </w:pPr>
      <w:r>
        <w:rPr>
          <w:bCs/>
          <w:b/>
        </w:rPr>
        <w:t xml:space="preserve">Logistics Data:</w:t>
      </w:r>
      <w:r>
        <w:t xml:space="preserve"> </w:t>
      </w:r>
      <w:r>
        <w:t xml:space="preserve">Specifics regarding transport mode (Select Mode), distance (yjpyssevrn), and last-mile delivery channel (Delivery Type).</w:t>
      </w:r>
    </w:p>
    <w:p>
      <w:pPr>
        <w:numPr>
          <w:ilvl w:val="0"/>
          <w:numId w:val="1007"/>
        </w:numPr>
        <w:pStyle w:val="Compact"/>
      </w:pPr>
      <w:r>
        <w:rPr>
          <w:bCs/>
          <w:b/>
        </w:rPr>
        <w:t xml:space="preserve">Use Phase Data:</w:t>
      </w:r>
      <w:r>
        <w:t xml:space="preserve"> </w:t>
      </w:r>
      <w:r>
        <w:t xml:space="preserve">Product lifespan (eovvmhuujj) and annual energy consumption during use (mrnzuglslm).</w:t>
      </w:r>
    </w:p>
    <w:p>
      <w:pPr>
        <w:numPr>
          <w:ilvl w:val="0"/>
          <w:numId w:val="1007"/>
        </w:numPr>
        <w:pStyle w:val="Compact"/>
      </w:pPr>
      <w:r>
        <w:rPr>
          <w:bCs/>
          <w:b/>
        </w:rPr>
        <w:t xml:space="preserve">End-of-Life Data:</w:t>
      </w:r>
      <w:r>
        <w:t xml:space="preserve"> </w:t>
      </w:r>
      <w:r>
        <w:t xml:space="preserve">Recyclability percentage (wpouqdstjq) and information on circular/take-back programs (ueneroeedr).</w:t>
      </w:r>
    </w:p>
    <w:bookmarkEnd w:id="28"/>
    <w:bookmarkStart w:id="29" w:name="Xc4ad1bd49e6bc739320f2e42cbb93ab1ef1d22b"/>
    <w:p>
      <w:pPr>
        <w:pStyle w:val="Heading3"/>
      </w:pPr>
      <w:r>
        <w:t xml:space="preserve">Secondary Data Sources (Assumed Industry Standards):</w:t>
      </w:r>
    </w:p>
    <w:p>
      <w:pPr>
        <w:pStyle w:val="FirstParagraph"/>
      </w:pPr>
      <w:r>
        <w:t xml:space="preserve">For parameters requiring general emission factors not explicitly stated in the primary data, values are sourced from recognized lifecycle inventory databases and governmental reports. These factors are representative of the geographic scope and industry.</w:t>
      </w:r>
    </w:p>
    <w:p>
      <w:pPr>
        <w:numPr>
          <w:ilvl w:val="0"/>
          <w:numId w:val="1008"/>
        </w:numPr>
        <w:pStyle w:val="Compact"/>
      </w:pPr>
      <w:r>
        <w:rPr>
          <w:bCs/>
          <w:b/>
        </w:rPr>
        <w:t xml:space="preserve">Electricity Grid Mix Emission Factors:</w:t>
      </w:r>
    </w:p>
    <w:p>
      <w:pPr>
        <w:numPr>
          <w:ilvl w:val="1"/>
          <w:numId w:val="1009"/>
        </w:numPr>
        <w:pStyle w:val="Compact"/>
      </w:pPr>
      <w:r>
        <w:rPr>
          <w:bCs/>
          <w:b/>
        </w:rPr>
        <w:t xml:space="preserve">China Grid Average:</w:t>
      </w:r>
      <w:r>
        <w:t xml:space="preserve"> </w:t>
      </w:r>
      <w:r>
        <w:t xml:space="preserve">0.61 kgCO2e/kWh (IEA or similar regional average for production).</w:t>
      </w:r>
    </w:p>
    <w:p>
      <w:pPr>
        <w:numPr>
          <w:ilvl w:val="1"/>
          <w:numId w:val="1009"/>
        </w:numPr>
        <w:pStyle w:val="Compact"/>
      </w:pPr>
      <w:r>
        <w:rPr>
          <w:bCs/>
          <w:b/>
        </w:rPr>
        <w:t xml:space="preserve">European Grid Average:</w:t>
      </w:r>
      <w:r>
        <w:t xml:space="preserve"> </w:t>
      </w:r>
      <w:r>
        <w:t xml:space="preserve">0.25 kgCO2e/kWh (EEA or similar regional average for use phase, assuming typical user location in Europe).</w:t>
      </w:r>
    </w:p>
    <w:p>
      <w:pPr>
        <w:numPr>
          <w:ilvl w:val="1"/>
          <w:numId w:val="1009"/>
        </w:numPr>
        <w:pStyle w:val="Compact"/>
      </w:pPr>
      <w:r>
        <w:rPr>
          <w:bCs/>
          <w:b/>
        </w:rPr>
        <w:t xml:space="preserve">Renewable Electricity:</w:t>
      </w:r>
      <w:r>
        <w:t xml:space="preserve"> </w:t>
      </w:r>
      <w:r>
        <w:t xml:space="preserve">0.012 kgCO2e/kWh (Residual emissions for certified renewable energy sources, e.g., hydro, wind, solar, accounting for infrastructure and transmission).</w:t>
      </w:r>
    </w:p>
    <w:p>
      <w:pPr>
        <w:numPr>
          <w:ilvl w:val="0"/>
          <w:numId w:val="1008"/>
        </w:numPr>
        <w:pStyle w:val="Compact"/>
      </w:pPr>
      <w:r>
        <w:rPr>
          <w:bCs/>
          <w:b/>
        </w:rPr>
        <w:t xml:space="preserve">Transport Emission Factors:</w:t>
      </w:r>
    </w:p>
    <w:p>
      <w:pPr>
        <w:numPr>
          <w:ilvl w:val="1"/>
          <w:numId w:val="1010"/>
        </w:numPr>
        <w:pStyle w:val="Compact"/>
      </w:pPr>
      <w:r>
        <w:rPr>
          <w:bCs/>
          <w:b/>
        </w:rPr>
        <w:t xml:space="preserve">Road Freight (Heavy Goods Vehicle, &gt;20t):</w:t>
      </w:r>
      <w:r>
        <w:t xml:space="preserve"> </w:t>
      </w:r>
      <w:r>
        <w:t xml:space="preserve">0.08 kgCO2e/tkm (Ecoinvent / DEFRA equivalent, for inbound logistics).</w:t>
      </w:r>
    </w:p>
    <w:p>
      <w:pPr>
        <w:numPr>
          <w:ilvl w:val="1"/>
          <w:numId w:val="1010"/>
        </w:numPr>
        <w:pStyle w:val="Compact"/>
      </w:pPr>
      <w:r>
        <w:rPr>
          <w:bCs/>
          <w:b/>
        </w:rPr>
        <w:t xml:space="preserve">Small Parcel Delivery Van (Diesel):</w:t>
      </w:r>
      <w:r>
        <w:t xml:space="preserve"> </w:t>
      </w:r>
      <w:r>
        <w:t xml:space="preserve">0.70 kgCO2e/package-km (Estimated average for typical diesel vans, accounting for partial loads and stop-start driving). The product weight (0.385 kg) is used for transport calculations where relevant to mass-based factors.</w:t>
      </w:r>
    </w:p>
    <w:p>
      <w:pPr>
        <w:numPr>
          <w:ilvl w:val="0"/>
          <w:numId w:val="1008"/>
        </w:numPr>
        <w:pStyle w:val="Compact"/>
      </w:pPr>
      <w:r>
        <w:rPr>
          <w:bCs/>
          <w:b/>
        </w:rPr>
        <w:t xml:space="preserve">End-of-Life Emission Factors &amp; Benefits:</w:t>
      </w:r>
    </w:p>
    <w:p>
      <w:pPr>
        <w:numPr>
          <w:ilvl w:val="1"/>
          <w:numId w:val="1011"/>
        </w:numPr>
        <w:pStyle w:val="Compact"/>
      </w:pPr>
      <w:r>
        <w:rPr>
          <w:bCs/>
          <w:b/>
        </w:rPr>
        <w:t xml:space="preserve">Landfill (mixed waste):</w:t>
      </w:r>
      <w:r>
        <w:t xml:space="preserve"> </w:t>
      </w:r>
      <w:r>
        <w:t xml:space="preserve">0.3 kgCO2e/kg (General factor for materials sent to landfill).</w:t>
      </w:r>
    </w:p>
    <w:p>
      <w:pPr>
        <w:numPr>
          <w:ilvl w:val="1"/>
          <w:numId w:val="1011"/>
        </w:numPr>
        <w:pStyle w:val="Compact"/>
      </w:pPr>
      <w:r>
        <w:rPr>
          <w:bCs/>
          <w:b/>
        </w:rPr>
        <w:t xml:space="preserve">Recycling Benefit (generic metals/plastics mix):</w:t>
      </w:r>
      <w:r>
        <w:t xml:space="preserve"> </w:t>
      </w:r>
      <w:r>
        <w:t xml:space="preserve">-1.5 kgCO2e/kg (Average avoided emissions from replacing virgin material production with recycled content).</w:t>
      </w:r>
    </w:p>
    <w:p>
      <w:pPr>
        <w:pStyle w:val="FirstParagraph"/>
      </w:pPr>
      <w:r>
        <w:rPr>
          <w:iCs/>
          <w:i/>
        </w:rPr>
        <w:t xml:space="preserve">Note on 2026 LSR Update:</w:t>
      </w:r>
      <w:r>
        <w:t xml:space="preserve"> </w:t>
      </w:r>
      <w:r>
        <w:t xml:space="preserve">While no specific land-use change data for xsfznovmff or its supply chain components was provided, adherence to the GHG Protocol\'s 2026 Land Sector and Removals (LSR) Standard is maintained. Any direct land-use emissions or carbon removals within the product\'s value chain would be quantified and reported if specific data became available. For this report, the impact of land use is integrated implicitly through the emission factors of materials where relevant (e.g., bio-based materials\' cultivation) and would be explicitly reported if significant land-use change data was identifiable for the product\'s specific supply chain.</w:t>
      </w:r>
    </w:p>
    <w:p>
      <w:r>
        <w:pict>
          <v:rect style="width:0;height:1.5pt" o:hralign="center" o:hrstd="t" o:hr="t"/>
        </w:pict>
      </w:r>
    </w:p>
    <w:bookmarkEnd w:id="29"/>
    <w:bookmarkEnd w:id="30"/>
    <w:bookmarkStart w:id="39"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across the product\'s lifecycle, categorized according to the GHG Protocol Scopes. A 95% coverage for Scope 3 reporting, as per 2026 requirements, is aimed for by including all material, transport, use, and end-of-life phases.</w:t>
      </w:r>
    </w:p>
    <w:bookmarkStart w:id="31" w:name="total-product-weight-calculation"/>
    <w:p>
      <w:pPr>
        <w:pStyle w:val="Heading3"/>
      </w:pPr>
      <w:r>
        <w:t xml:space="preserve">Total Product Weight Calculation:</w:t>
      </w:r>
    </w:p>
    <w:p>
      <w:pPr>
        <w:pStyle w:val="FirstParagraph"/>
      </w:pPr>
      <w:r>
        <w:t xml:space="preserve">Sum of Qty from BOM = 0.15 + 0.03 + 0.05 + 0.01 + 0.005 + 0.02 + 0.04 + 0.08 = 0.385 kg</w:t>
      </w:r>
    </w:p>
    <w:p>
      <w:pPr>
        <w:pStyle w:val="BodyText"/>
      </w:pPr>
      <w:r>
        <w:t xml:space="preserve">Product Body Weight (excl. packaging) = 0.305 kg</w:t>
      </w:r>
    </w:p>
    <w:bookmarkEnd w:id="31"/>
    <w:bookmarkStart w:id="37" w:name="ghg-protocol-scopes-breakdown"/>
    <w:p>
      <w:pPr>
        <w:pStyle w:val="Heading3"/>
      </w:pPr>
      <w:r>
        <w:t xml:space="preserve">GHG Protocol Scopes Breakdown:</w:t>
      </w:r>
    </w:p>
    <w:bookmarkStart w:id="32" w:name="X23b814944752cd4341b60eeeb87edfc5c09aa63"/>
    <w:p>
      <w:pPr>
        <w:pStyle w:val="Heading4"/>
      </w:pPr>
      <w:r>
        <w:t xml:space="preserve">Scope 1: Direct Emissions (Not Applicable at factory_gate system boundary)</w:t>
      </w:r>
    </w:p>
    <w:p>
      <w:pPr>
        <w:pStyle w:val="FirstParagraph"/>
      </w:pPr>
      <w:r>
        <w:t xml:space="preserve">As the system boundary for the core product is \'factory_gate\', direct emissions from company-owned or controlled sources (e.g., onsite fuel combustion) are not directly attributed to the product\'s PCF in this specific analysis, unless explicitly part of the manufacturing process\'s direct energy use for specific items. For this report, all manufacturing energy is considered purchased electricity or heat, falling under Scope 2 or Scope 3 (if supplied by a third party). If the manufacturing facility (pppuglfpxe) had direct emissions for product fabrication, they would be reported here.</w:t>
      </w:r>
    </w:p>
    <w:bookmarkEnd w:id="32"/>
    <w:bookmarkStart w:id="33" w:name="Xf19df42b606cc6f0f61d3d56682dac5065d4d63"/>
    <w:p>
      <w:pPr>
        <w:pStyle w:val="Heading4"/>
      </w:pPr>
      <w:r>
        <w:t xml:space="preserve">Scope 2: Indirect Emissions from Purchased Energy (Manufacturing Phase)</w:t>
      </w:r>
    </w:p>
    <w:p>
      <w:pPr>
        <w:pStyle w:val="FirstParagraph"/>
      </w:pPr>
      <w:r>
        <w:t xml:space="preserve">This includes emissions from the generation of purchased electricity consumed by the manufacturing facility for xsfznovmff production.</w:t>
      </w:r>
    </w:p>
    <w:p>
      <w:pPr>
        <w:numPr>
          <w:ilvl w:val="0"/>
          <w:numId w:val="1012"/>
        </w:numPr>
        <w:pStyle w:val="Compact"/>
      </w:pPr>
      <w:r>
        <w:rPr>
          <w:bCs/>
          <w:b/>
        </w:rPr>
        <w:t xml:space="preserve">Grid Electricity Consumption:</w:t>
      </w:r>
      <w:r>
        <w:t xml:space="preserve"> </w:t>
      </w:r>
      <w:r>
        <w:t xml:space="preserve">4.5 kWh/unit (from 15 kWh/unit total, with 70% renewable)</w:t>
      </w:r>
    </w:p>
    <w:p>
      <w:pPr>
        <w:numPr>
          <w:ilvl w:val="0"/>
          <w:numId w:val="1012"/>
        </w:numPr>
        <w:pStyle w:val="Compact"/>
      </w:pPr>
      <w:r>
        <w:rPr>
          <w:bCs/>
          <w:b/>
        </w:rPr>
        <w:t xml:space="preserve">China Grid Emission Factor:</w:t>
      </w:r>
      <w:r>
        <w:t xml:space="preserve"> </w:t>
      </w:r>
      <w:r>
        <w:t xml:space="preserve">0.61 kgCO2e/kWh</w:t>
      </w:r>
    </w:p>
    <w:p>
      <w:pPr>
        <w:numPr>
          <w:ilvl w:val="0"/>
          <w:numId w:val="1012"/>
        </w:numPr>
        <w:pStyle w:val="Compact"/>
      </w:pPr>
      <w:r>
        <w:rPr>
          <w:bCs/>
          <w:b/>
        </w:rPr>
        <w:t xml:space="preserve">Scope 2 Emissions:</w:t>
      </w:r>
      <w:r>
        <w:t xml:space="preserve"> </w:t>
      </w:r>
      <w:r>
        <w:t xml:space="preserve">4.5 kWh/unit * 0.61 kgCO2e/kWh =</w:t>
      </w:r>
      <w:r>
        <w:t xml:space="preserve"> </w:t>
      </w:r>
      <w:r>
        <w:rPr>
          <w:bCs/>
          <w:b/>
        </w:rPr>
        <w:t xml:space="preserve">2.745 kgCO2e/unit</w:t>
      </w:r>
    </w:p>
    <w:p>
      <w:pPr>
        <w:pStyle w:val="FirstParagraph"/>
      </w:pPr>
      <w:r>
        <w:rPr>
          <w:iCs/>
          <w:i/>
        </w:rPr>
        <w:t xml:space="preserve">Note: The 70% renewable energy usage is accounted for by only calculating emissions for the non-renewable portion of grid electricity. Residual emissions from renewable sources (10.5 kWh * 0.012 kgCO2e/kWh = 0.126 kgCO2e) are implicitly covered under Scope 3 if supplied by a third party, or can be allocated to Scope 2 if directly purchased from a renewable provider with associated (minimal) grid losses/infrastructure, but for simplicity here the direct grid emissions for the non-renewable portion are the primary Scope 2 focus.</w:t>
      </w:r>
    </w:p>
    <w:bookmarkEnd w:id="33"/>
    <w:bookmarkStart w:id="36" w:name="Xd1c2b652bc5876514f180a21f002993b8de8e83"/>
    <w:p>
      <w:pPr>
        <w:pStyle w:val="Heading4"/>
      </w:pPr>
      <w:r>
        <w:t xml:space="preserve">Scope 3: Other Indirect Emissions (Value Chain)</w:t>
      </w:r>
    </w:p>
    <w:bookmarkStart w:id="34" w:name="upstream-emissions"/>
    <w:p>
      <w:pPr>
        <w:pStyle w:val="Heading5"/>
      </w:pPr>
      <w:r>
        <w:t xml:space="preserve">3.1 Upstream Emissions:</w:t>
      </w:r>
    </w:p>
    <w:p>
      <w:pPr>
        <w:numPr>
          <w:ilvl w:val="0"/>
          <w:numId w:val="1013"/>
        </w:numPr>
      </w:pPr>
      <w:r>
        <w:rPr>
          <w:bCs/>
          <w:b/>
        </w:rPr>
        <w:t xml:space="preserve">A. Material Acquisition &amp; Pre-processing (Category 1: Purchased Goods and Services)</w:t>
      </w:r>
    </w:p>
    <w:p>
      <w:pPr>
        <w:numPr>
          <w:ilvl w:val="0"/>
          <w:numId w:val="1000"/>
        </w:numPr>
      </w:pPr>
      <w:r>
        <w:t xml:space="preserve">Calculated directly from the provided Detailed Bill of Materials (BOM).</w:t>
      </w:r>
    </w:p>
    <w:p>
      <w:pPr>
        <w:numPr>
          <w:ilvl w:val="0"/>
          <w:numId w:val="1000"/>
        </w:numPr>
      </w:pPr>
      <w:r>
        <w:rPr>
          <w:bCs/>
          <w:b/>
        </w:rPr>
        <w:t xml:space="preserve">Total Material Carbon Impact: 1.977 kgCO2e/unit</w:t>
      </w:r>
    </w:p>
    <w:p>
      <w:pPr>
        <w:numPr>
          <w:ilvl w:val="0"/>
          <w:numId w:val="1013"/>
        </w:numPr>
      </w:pPr>
      <w:r>
        <w:rPr>
          <w:bCs/>
          <w:b/>
        </w:rPr>
        <w:t xml:space="preserve">B. Upstream Transportation (Category 4: Transportation and Distribution)</w:t>
      </w:r>
    </w:p>
    <w:p>
      <w:pPr>
        <w:numPr>
          <w:ilvl w:val="0"/>
          <w:numId w:val="1000"/>
        </w:numPr>
      </w:pPr>
      <w:r>
        <w:t xml:space="preserve">Inbound logistics for raw materials/components to the factory in China.</w:t>
      </w:r>
    </w:p>
    <w:p>
      <w:pPr>
        <w:numPr>
          <w:ilvl w:val="1"/>
          <w:numId w:val="1014"/>
        </w:numPr>
        <w:pStyle w:val="Compact"/>
      </w:pPr>
      <w:r>
        <w:rPr>
          <w:bCs/>
          <w:b/>
        </w:rPr>
        <w:t xml:space="preserve">Assumed Average Transport Weight:</w:t>
      </w:r>
      <w:r>
        <w:t xml:space="preserve"> </w:t>
      </w:r>
      <w:r>
        <w:t xml:space="preserve">0.305 kg (Product body weight, excluding packaging, as primary components)</w:t>
      </w:r>
    </w:p>
    <w:p>
      <w:pPr>
        <w:numPr>
          <w:ilvl w:val="1"/>
          <w:numId w:val="1014"/>
        </w:numPr>
        <w:pStyle w:val="Compact"/>
      </w:pPr>
      <w:r>
        <w:rPr>
          <w:bCs/>
          <w:b/>
        </w:rPr>
        <w:t xml:space="preserve">Transport Mode:</w:t>
      </w:r>
      <w:r>
        <w:t xml:space="preserve"> </w:t>
      </w:r>
      <w:r>
        <w:t xml:space="preserve">Road Freight (Heavy Goods Vehicle, &gt;20t)</w:t>
      </w:r>
    </w:p>
    <w:p>
      <w:pPr>
        <w:numPr>
          <w:ilvl w:val="1"/>
          <w:numId w:val="1014"/>
        </w:numPr>
        <w:pStyle w:val="Compact"/>
      </w:pPr>
      <w:r>
        <w:rPr>
          <w:bCs/>
          <w:b/>
        </w:rPr>
        <w:t xml:space="preserve">Transport Distance:</w:t>
      </w:r>
      <w:r>
        <w:t xml:space="preserve"> </w:t>
      </w:r>
      <w:r>
        <w:t xml:space="preserve">1000 km</w:t>
      </w:r>
    </w:p>
    <w:p>
      <w:pPr>
        <w:numPr>
          <w:ilvl w:val="1"/>
          <w:numId w:val="1014"/>
        </w:numPr>
        <w:pStyle w:val="Compact"/>
      </w:pPr>
      <w:r>
        <w:rPr>
          <w:bCs/>
          <w:b/>
        </w:rPr>
        <w:t xml:space="preserve">Emission Factor:</w:t>
      </w:r>
      <w:r>
        <w:t xml:space="preserve"> </w:t>
      </w:r>
      <w:r>
        <w:t xml:space="preserve">0.08 kgCO2e/tkm</w:t>
      </w:r>
    </w:p>
    <w:p>
      <w:pPr>
        <w:numPr>
          <w:ilvl w:val="1"/>
          <w:numId w:val="1014"/>
        </w:numPr>
        <w:pStyle w:val="Compact"/>
      </w:pPr>
      <w:r>
        <w:rPr>
          <w:bCs/>
          <w:b/>
        </w:rPr>
        <w:t xml:space="preserve">Calculation:</w:t>
      </w:r>
      <w:r>
        <w:t xml:space="preserve"> </w:t>
      </w:r>
      <w:r>
        <w:t xml:space="preserve">(0.305 kg / 1000 kg/tonne) * 1000 km * 0.08 kgCO2e/tkm =</w:t>
      </w:r>
      <w:r>
        <w:t xml:space="preserve"> </w:t>
      </w:r>
      <w:r>
        <w:rPr>
          <w:bCs/>
          <w:b/>
        </w:rPr>
        <w:t xml:space="preserve">0.0244 kgCO2e/unit</w:t>
      </w:r>
    </w:p>
    <w:bookmarkEnd w:id="34"/>
    <w:bookmarkStart w:id="35" w:name="downstream-emissions"/>
    <w:p>
      <w:pPr>
        <w:pStyle w:val="Heading5"/>
      </w:pPr>
      <w:r>
        <w:t xml:space="preserve">3.2 Downstream Emissions:</w:t>
      </w:r>
    </w:p>
    <w:p>
      <w:pPr>
        <w:numPr>
          <w:ilvl w:val="0"/>
          <w:numId w:val="1015"/>
        </w:numPr>
      </w:pPr>
      <w:r>
        <w:rPr>
          <w:bCs/>
          <w:b/>
        </w:rPr>
        <w:t xml:space="preserve">A. Downstream Transportation (Category 4: Transportation and Distribution)</w:t>
      </w:r>
    </w:p>
    <w:p>
      <w:pPr>
        <w:numPr>
          <w:ilvl w:val="0"/>
          <w:numId w:val="1000"/>
        </w:numPr>
      </w:pPr>
      <w:r>
        <w:t xml:space="preserve">Last-Mile Delivery to end-user in Europe.</w:t>
      </w:r>
    </w:p>
    <w:p>
      <w:pPr>
        <w:numPr>
          <w:ilvl w:val="1"/>
          <w:numId w:val="1016"/>
        </w:numPr>
        <w:pStyle w:val="Compact"/>
      </w:pPr>
      <w:r>
        <w:rPr>
          <w:bCs/>
          <w:b/>
        </w:rPr>
        <w:t xml:space="preserve">Delivery Channel:</w:t>
      </w:r>
      <w:r>
        <w:t xml:space="preserve"> </w:t>
      </w:r>
      <w:r>
        <w:t xml:space="preserve">Small Parcel Delivery Van (Diesel)</w:t>
      </w:r>
    </w:p>
    <w:p>
      <w:pPr>
        <w:numPr>
          <w:ilvl w:val="1"/>
          <w:numId w:val="1016"/>
        </w:numPr>
        <w:pStyle w:val="Compact"/>
      </w:pPr>
      <w:r>
        <w:rPr>
          <w:bCs/>
          <w:b/>
        </w:rPr>
        <w:t xml:space="preserve">Assumed Last-Mile Distance:</w:t>
      </w:r>
      <w:r>
        <w:t xml:space="preserve"> </w:t>
      </w:r>
      <w:r>
        <w:t xml:space="preserve">100 km</w:t>
      </w:r>
    </w:p>
    <w:p>
      <w:pPr>
        <w:numPr>
          <w:ilvl w:val="1"/>
          <w:numId w:val="1016"/>
        </w:numPr>
        <w:pStyle w:val="Compact"/>
      </w:pPr>
      <w:r>
        <w:rPr>
          <w:bCs/>
          <w:b/>
        </w:rPr>
        <w:t xml:space="preserve">Emission Factor:</w:t>
      </w:r>
      <w:r>
        <w:t xml:space="preserve"> </w:t>
      </w:r>
      <w:r>
        <w:t xml:space="preserve">0.70 kgCO2e/package-km (assuming one package per unit)</w:t>
      </w:r>
    </w:p>
    <w:p>
      <w:pPr>
        <w:numPr>
          <w:ilvl w:val="1"/>
          <w:numId w:val="1016"/>
        </w:numPr>
        <w:pStyle w:val="Compact"/>
      </w:pPr>
      <w:r>
        <w:rPr>
          <w:bCs/>
          <w:b/>
        </w:rPr>
        <w:t xml:space="preserve">Calculation:</w:t>
      </w:r>
      <w:r>
        <w:t xml:space="preserve"> </w:t>
      </w:r>
      <w:r>
        <w:t xml:space="preserve">1 unit * 100 km * 0.70 kgCO2e/package-km =</w:t>
      </w:r>
      <w:r>
        <w:t xml:space="preserve"> </w:t>
      </w:r>
      <w:r>
        <w:rPr>
          <w:bCs/>
          <w:b/>
        </w:rPr>
        <w:t xml:space="preserve">70.00 kgCO2e/unit</w:t>
      </w:r>
    </w:p>
    <w:p>
      <w:pPr>
        <w:numPr>
          <w:ilvl w:val="0"/>
          <w:numId w:val="1015"/>
        </w:numPr>
      </w:pPr>
      <w:r>
        <w:rPr>
          <w:bCs/>
          <w:b/>
        </w:rPr>
        <w:t xml:space="preserve">B. Use Phase (Category 11: Use of Sold Products)</w:t>
      </w:r>
    </w:p>
    <w:p>
      <w:pPr>
        <w:numPr>
          <w:ilvl w:val="0"/>
          <w:numId w:val="1000"/>
        </w:numPr>
      </w:pPr>
      <w:r>
        <w:t xml:space="preserve">Energy consumption during the product\'s active lifespan.</w:t>
      </w:r>
    </w:p>
    <w:p>
      <w:pPr>
        <w:numPr>
          <w:ilvl w:val="1"/>
          <w:numId w:val="1017"/>
        </w:numPr>
        <w:pStyle w:val="Compact"/>
      </w:pPr>
      <w:r>
        <w:rPr>
          <w:bCs/>
          <w:b/>
        </w:rPr>
        <w:t xml:space="preserve">Total Energy Consumption:</w:t>
      </w:r>
      <w:r>
        <w:t xml:space="preserve"> </w:t>
      </w:r>
      <w:r>
        <w:t xml:space="preserve">25 kWh/unit (5 years * 5 kWh/year)</w:t>
      </w:r>
    </w:p>
    <w:p>
      <w:pPr>
        <w:numPr>
          <w:ilvl w:val="1"/>
          <w:numId w:val="1017"/>
        </w:numPr>
        <w:pStyle w:val="Compact"/>
      </w:pPr>
      <w:r>
        <w:rPr>
          <w:bCs/>
          <w:b/>
        </w:rPr>
        <w:t xml:space="preserve">European Grid Emission Factor (Assumed user location):</w:t>
      </w:r>
      <w:r>
        <w:t xml:space="preserve"> </w:t>
      </w:r>
      <w:r>
        <w:t xml:space="preserve">0.25 kgCO2e/kWh</w:t>
      </w:r>
    </w:p>
    <w:p>
      <w:pPr>
        <w:numPr>
          <w:ilvl w:val="1"/>
          <w:numId w:val="1017"/>
        </w:numPr>
        <w:pStyle w:val="Compact"/>
      </w:pPr>
      <w:r>
        <w:rPr>
          <w:bCs/>
          <w:b/>
        </w:rPr>
        <w:t xml:space="preserve">Calculation:</w:t>
      </w:r>
      <w:r>
        <w:t xml:space="preserve"> </w:t>
      </w:r>
      <w:r>
        <w:t xml:space="preserve">25 kWh/unit * 0.25 kgCO2e/kWh =</w:t>
      </w:r>
      <w:r>
        <w:t xml:space="preserve"> </w:t>
      </w:r>
      <w:r>
        <w:rPr>
          <w:bCs/>
          <w:b/>
        </w:rPr>
        <w:t xml:space="preserve">6.25 kgCO2e/unit</w:t>
      </w:r>
    </w:p>
    <w:p>
      <w:pPr>
        <w:numPr>
          <w:ilvl w:val="0"/>
          <w:numId w:val="1015"/>
        </w:numPr>
      </w:pPr>
      <w:r>
        <w:rPr>
          <w:bCs/>
          <w:b/>
        </w:rPr>
        <w:t xml:space="preserve">C. End-of-Life (EoL) Treatment (Category 12: End-of-Life Treatment of Sold Products)</w:t>
      </w:r>
    </w:p>
    <w:p>
      <w:pPr>
        <w:numPr>
          <w:ilvl w:val="0"/>
          <w:numId w:val="1000"/>
        </w:numPr>
      </w:pPr>
      <w:r>
        <w:t xml:space="preserve">Emissions and avoided emissions from disposal and recycling.</w:t>
      </w:r>
    </w:p>
    <w:p>
      <w:pPr>
        <w:numPr>
          <w:ilvl w:val="1"/>
          <w:numId w:val="1018"/>
        </w:numPr>
        <w:pStyle w:val="Compact"/>
      </w:pPr>
      <w:r>
        <w:rPr>
          <w:bCs/>
          <w:b/>
        </w:rPr>
        <w:t xml:space="preserve">Total Product Weight (incl. packaging):</w:t>
      </w:r>
      <w:r>
        <w:t xml:space="preserve"> </w:t>
      </w:r>
      <w:r>
        <w:t xml:space="preserve">0.385 kg</w:t>
      </w:r>
    </w:p>
    <w:p>
      <w:pPr>
        <w:numPr>
          <w:ilvl w:val="1"/>
          <w:numId w:val="1018"/>
        </w:numPr>
        <w:pStyle w:val="Compact"/>
      </w:pPr>
      <w:r>
        <w:rPr>
          <w:bCs/>
          <w:b/>
        </w:rPr>
        <w:t xml:space="preserve">Recycled Portion (80%):</w:t>
      </w:r>
      <w:r>
        <w:t xml:space="preserve"> </w:t>
      </w:r>
      <w:r>
        <w:t xml:space="preserve">0.385 kg * 0.80 = 0.308 kg</w:t>
      </w:r>
    </w:p>
    <w:p>
      <w:pPr>
        <w:numPr>
          <w:ilvl w:val="1"/>
          <w:numId w:val="1018"/>
        </w:numPr>
        <w:pStyle w:val="Compact"/>
      </w:pPr>
      <w:r>
        <w:rPr>
          <w:bCs/>
          <w:b/>
        </w:rPr>
        <w:t xml:space="preserve">Disposed Portion (20%):</w:t>
      </w:r>
      <w:r>
        <w:t xml:space="preserve"> </w:t>
      </w:r>
      <w:r>
        <w:t xml:space="preserve">0.385 kg * 0.20 = 0.077 kg</w:t>
      </w:r>
    </w:p>
    <w:p>
      <w:pPr>
        <w:numPr>
          <w:ilvl w:val="1"/>
          <w:numId w:val="1018"/>
        </w:numPr>
        <w:pStyle w:val="Compact"/>
      </w:pPr>
      <w:r>
        <w:rPr>
          <w:bCs/>
          <w:b/>
        </w:rPr>
        <w:t xml:space="preserve">Emissions from Landfill:</w:t>
      </w:r>
      <w:r>
        <w:t xml:space="preserve"> </w:t>
      </w:r>
      <w:r>
        <w:t xml:space="preserve">0.077 kg * 0.3 kgCO2e/kg = 0.0231 kgCO2e</w:t>
      </w:r>
    </w:p>
    <w:p>
      <w:pPr>
        <w:numPr>
          <w:ilvl w:val="1"/>
          <w:numId w:val="1018"/>
        </w:numPr>
        <w:pStyle w:val="Compact"/>
      </w:pPr>
      <w:r>
        <w:rPr>
          <w:bCs/>
          <w:b/>
        </w:rPr>
        <w:t xml:space="preserve">Recycling Benefit (Avoided Emissions):</w:t>
      </w:r>
      <w:r>
        <w:t xml:space="preserve"> </w:t>
      </w:r>
      <w:r>
        <w:t xml:space="preserve">0.308 kg * -1.5 kgCO2e/kg = -0.462 kgCO2e</w:t>
      </w:r>
    </w:p>
    <w:p>
      <w:pPr>
        <w:numPr>
          <w:ilvl w:val="1"/>
          <w:numId w:val="1018"/>
        </w:numPr>
        <w:pStyle w:val="Compact"/>
      </w:pPr>
      <w:r>
        <w:rPr>
          <w:bCs/>
          <w:b/>
        </w:rPr>
        <w:t xml:space="preserve">Total EoL Emissions:</w:t>
      </w:r>
      <w:r>
        <w:t xml:space="preserve"> </w:t>
      </w:r>
      <w:r>
        <w:t xml:space="preserve">0.0231 kgCO2e - 0.462 kgCO2e =</w:t>
      </w:r>
      <w:r>
        <w:t xml:space="preserve"> </w:t>
      </w:r>
      <w:r>
        <w:rPr>
          <w:bCs/>
          <w:b/>
        </w:rPr>
        <w:t xml:space="preserve">-0.4389 kgCO2e/unit</w:t>
      </w:r>
      <w:r>
        <w:t xml:space="preserve"> </w:t>
      </w:r>
      <w:r>
        <w:t xml:space="preserve">(Net carbon reduction from recycling)</w:t>
      </w:r>
    </w:p>
    <w:bookmarkEnd w:id="35"/>
    <w:bookmarkEnd w:id="36"/>
    <w:bookmarkEnd w:id="37"/>
    <w:bookmarkStart w:id="38" w:name="X8ab4f9c3ea0afae193fc5f64f5aa03cf3226a93"/>
    <w:p>
      <w:pPr>
        <w:pStyle w:val="Heading3"/>
      </w:pPr>
      <w:r>
        <w:t xml:space="preserve">Summary of Calculated Emissions (per 1.0 functional unit of xsfznovmff):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Direct Emissions (Not applicable in this PCF boundary)</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2.745</w:t>
            </w:r>
          </w:p>
        </w:tc>
      </w:tr>
      <w:tr>
        <w:tc>
          <w:tcPr/>
          <w:p>
            <w:pPr>
              <w:pStyle w:val="Compact"/>
              <w:jc w:val="left"/>
            </w:pPr>
            <w:r>
              <w:rPr>
                <w:bCs/>
                <w:b/>
              </w:rPr>
              <w:t xml:space="preserve">Scope 3 - Upstream</w:t>
            </w:r>
          </w:p>
        </w:tc>
        <w:tc>
          <w:tcPr/>
          <w:p>
            <w:pPr>
              <w:pStyle w:val="Compact"/>
              <w:jc w:val="left"/>
            </w:pPr>
            <w:r>
              <w:t xml:space="preserve">Materials (Purchased Goods &amp; Services)</w:t>
            </w:r>
          </w:p>
        </w:tc>
        <w:tc>
          <w:tcPr/>
          <w:p>
            <w:pPr>
              <w:pStyle w:val="Compact"/>
              <w:jc w:val="left"/>
            </w:pPr>
            <w:r>
              <w:t xml:space="preserve">1.977</w:t>
            </w:r>
          </w:p>
        </w:tc>
      </w:tr>
      <w:tr>
        <w:tc>
          <w:tcPr/>
          <w:p>
            <w:pPr>
              <w:pStyle w:val="Compact"/>
              <w:jc w:val="left"/>
            </w:pPr>
            <w:r>
              <w:rPr>
                <w:bCs/>
                <w:b/>
              </w:rPr>
              <w:t xml:space="preserve">Scope 3 - Upstream</w:t>
            </w:r>
          </w:p>
        </w:tc>
        <w:tc>
          <w:tcPr/>
          <w:p>
            <w:pPr>
              <w:pStyle w:val="Compact"/>
              <w:jc w:val="left"/>
            </w:pPr>
            <w:r>
              <w:t xml:space="preserve">Inbound Transport (Transportation &amp; Distribution)</w:t>
            </w:r>
          </w:p>
        </w:tc>
        <w:tc>
          <w:tcPr/>
          <w:p>
            <w:pPr>
              <w:pStyle w:val="Compact"/>
              <w:jc w:val="left"/>
            </w:pPr>
            <w:r>
              <w:t xml:space="preserve">0.0244</w:t>
            </w:r>
          </w:p>
        </w:tc>
      </w:tr>
      <w:tr>
        <w:tc>
          <w:tcPr/>
          <w:p>
            <w:pPr>
              <w:pStyle w:val="Compact"/>
              <w:jc w:val="left"/>
            </w:pPr>
            <w:r>
              <w:rPr>
                <w:bCs/>
                <w:b/>
              </w:rPr>
              <w:t xml:space="preserve">Scope 3 - Downstream</w:t>
            </w:r>
          </w:p>
        </w:tc>
        <w:tc>
          <w:tcPr/>
          <w:p>
            <w:pPr>
              <w:pStyle w:val="Compact"/>
              <w:jc w:val="left"/>
            </w:pPr>
            <w:r>
              <w:t xml:space="preserve">Last-Mile Delivery (Transportation &amp; Distribution)</w:t>
            </w:r>
          </w:p>
        </w:tc>
        <w:tc>
          <w:tcPr/>
          <w:p>
            <w:pPr>
              <w:pStyle w:val="Compact"/>
              <w:jc w:val="left"/>
            </w:pPr>
            <w:r>
              <w:t xml:space="preserve">70.000</w:t>
            </w:r>
          </w:p>
        </w:tc>
      </w:tr>
      <w:tr>
        <w:tc>
          <w:tcPr/>
          <w:p>
            <w:pPr>
              <w:pStyle w:val="Compact"/>
              <w:jc w:val="left"/>
            </w:pPr>
            <w:r>
              <w:rPr>
                <w:bCs/>
                <w:b/>
              </w:rPr>
              <w:t xml:space="preserve">Scope 3 - Downstream</w:t>
            </w:r>
          </w:p>
        </w:tc>
        <w:tc>
          <w:tcPr/>
          <w:p>
            <w:pPr>
              <w:pStyle w:val="Compact"/>
              <w:jc w:val="left"/>
            </w:pPr>
            <w:r>
              <w:t xml:space="preserve">Use Phase (Use of Sold Products)</w:t>
            </w:r>
          </w:p>
        </w:tc>
        <w:tc>
          <w:tcPr/>
          <w:p>
            <w:pPr>
              <w:pStyle w:val="Compact"/>
              <w:jc w:val="left"/>
            </w:pPr>
            <w:r>
              <w:t xml:space="preserve">6.250</w:t>
            </w:r>
          </w:p>
        </w:tc>
      </w:tr>
      <w:tr>
        <w:tc>
          <w:tcPr/>
          <w:p>
            <w:pPr>
              <w:pStyle w:val="Compact"/>
              <w:jc w:val="left"/>
            </w:pPr>
            <w:r>
              <w:rPr>
                <w:bCs/>
                <w:b/>
              </w:rPr>
              <w:t xml:space="preserve">Scope 3 - Downstream</w:t>
            </w:r>
          </w:p>
        </w:tc>
        <w:tc>
          <w:tcPr/>
          <w:p>
            <w:pPr>
              <w:pStyle w:val="Compact"/>
              <w:jc w:val="left"/>
            </w:pPr>
            <w:r>
              <w:t xml:space="preserve">End-of-Life Treatment (EoL of Sold Products)</w:t>
            </w:r>
          </w:p>
        </w:tc>
        <w:tc>
          <w:tcPr/>
          <w:p>
            <w:pPr>
              <w:pStyle w:val="Compact"/>
              <w:jc w:val="left"/>
            </w:pPr>
            <w:r>
              <w:t xml:space="preserve">-0.4389</w:t>
            </w:r>
          </w:p>
        </w:tc>
      </w:tr>
      <w:tr>
        <w:tc>
          <w:tcPr>
            <w:gridSpan w:val="2"/>
          </w:tcPr>
          <w:p>
            <w:pPr>
              <w:pStyle w:val="Compact"/>
              <w:jc w:val="right"/>
            </w:pPr>
            <w:r>
              <w:t xml:space="preserve">TOTAL PRODUCT CARBON FOOTPRINT:</w:t>
            </w:r>
          </w:p>
        </w:tc>
        <w:tc>
          <w:tcPr/>
          <w:p>
            <w:pPr>
              <w:pStyle w:val="Compact"/>
              <w:jc w:val="left"/>
            </w:pPr>
            <w:r>
              <w:rPr>
                <w:bCs/>
                <w:b/>
              </w:rPr>
              <w:t xml:space="preserve">80.5575 kgCO2e/unit</w:t>
            </w:r>
          </w:p>
        </w:tc>
      </w:tr>
    </w:tbl>
    <w:p>
      <w:r>
        <w:pict>
          <v:rect style="width:0;height:1.5pt" o:hralign="center" o:hrstd="t" o:hr="t"/>
        </w:pict>
      </w:r>
    </w:p>
    <w:bookmarkEnd w:id="38"/>
    <w:bookmarkEnd w:id="39"/>
    <w:bookmarkStart w:id="45"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The analysis clearly identifies the following primary emission hotspots for xsfznovmff:</w:t>
      </w:r>
    </w:p>
    <w:p>
      <w:pPr>
        <w:numPr>
          <w:ilvl w:val="0"/>
          <w:numId w:val="1019"/>
        </w:numPr>
        <w:pStyle w:val="Compact"/>
      </w:pPr>
      <w:r>
        <w:rPr>
          <w:bCs/>
          <w:b/>
        </w:rPr>
        <w:t xml:space="preserve">Downstream Transportation (Last-Mile Delivery):</w:t>
      </w:r>
      <w:r>
        <w:t xml:space="preserve"> </w:t>
      </w:r>
      <w:r>
        <w:t xml:space="preserve">At 70.00 kgCO2e, this stage represents the most significant contributor to the total PCF. This is likely due to the assumed high emission factor for small parcel delivery vans and the typical inefficiencies in last-mile logistics for individual units. This area presents a major opportunity for reduction through optimized logistics, fleet electrification, or localized distribution centers.</w:t>
      </w:r>
    </w:p>
    <w:p>
      <w:pPr>
        <w:numPr>
          <w:ilvl w:val="0"/>
          <w:numId w:val="1019"/>
        </w:numPr>
        <w:pStyle w:val="Compact"/>
      </w:pPr>
      <w:r>
        <w:rPr>
          <w:bCs/>
          <w:b/>
        </w:rPr>
        <w:t xml:space="preserve">Manufacturing (Scope 2 Purchased Electricity):</w:t>
      </w:r>
      <w:r>
        <w:t xml:space="preserve"> </w:t>
      </w:r>
      <w:r>
        <w:t xml:space="preserve">With 2.745 kgCO2e, the energy consumed during production is the second largest direct hotspot within the factory gate. While 70% renewable energy usage is commendable, further increasing this percentage or improving energy efficiency would yield significant reductions.</w:t>
      </w:r>
    </w:p>
    <w:p>
      <w:pPr>
        <w:numPr>
          <w:ilvl w:val="0"/>
          <w:numId w:val="1019"/>
        </w:numPr>
        <w:pStyle w:val="Compact"/>
      </w:pPr>
      <w:r>
        <w:rPr>
          <w:bCs/>
          <w:b/>
        </w:rPr>
        <w:t xml:space="preserve">Materials (Purchased Goods and Services):</w:t>
      </w:r>
      <w:r>
        <w:t xml:space="preserve"> </w:t>
      </w:r>
      <w:r>
        <w:t xml:space="preserve">Contributing 1.977 kgCO2e, the raw materials and their processing are a substantial upstream impact. Key materials like ABS plastic, PCB, and the Li-ion battery are major contributors. Opportunities lie in material substitution with lower-impact alternatives, increased recycled content, and working with suppliers on their decarbonization efforts.</w:t>
      </w:r>
    </w:p>
    <w:p>
      <w:pPr>
        <w:numPr>
          <w:ilvl w:val="0"/>
          <w:numId w:val="1019"/>
        </w:numPr>
        <w:pStyle w:val="Compact"/>
      </w:pPr>
      <w:r>
        <w:rPr>
          <w:bCs/>
          <w:b/>
        </w:rPr>
        <w:t xml:space="preserve">Use Phase:</w:t>
      </w:r>
      <w:r>
        <w:t xml:space="preserve"> </w:t>
      </w:r>
      <w:r>
        <w:t xml:space="preserve">The operational energy consumption over the product\'s lifespan contributes 6.25 kgCO2e. Design for energy efficiency and consumer education on efficient use could reduce this impact.</w:t>
      </w:r>
    </w:p>
    <w:bookmarkEnd w:id="40"/>
    <w:bookmarkStart w:id="41" w:name="reliability-and-limitations"/>
    <w:p>
      <w:pPr>
        <w:pStyle w:val="Heading3"/>
      </w:pPr>
      <w:r>
        <w:t xml:space="preserve">Reliability and Limitations:</w:t>
      </w:r>
    </w:p>
    <w:p>
      <w:pPr>
        <w:pStyle w:val="FirstParagraph"/>
      </w:pPr>
      <w:r>
        <w:t xml:space="preserve">The reliability of this report is high for the parameters explicitly provided (BOM, energy usage, etc.). However, it is subject to the following limitations:</w:t>
      </w:r>
    </w:p>
    <w:p>
      <w:pPr>
        <w:numPr>
          <w:ilvl w:val="0"/>
          <w:numId w:val="1020"/>
        </w:numPr>
        <w:pStyle w:val="Compact"/>
      </w:pPr>
      <w:r>
        <w:rPr>
          <w:bCs/>
          <w:b/>
        </w:rPr>
        <w:t xml:space="preserve">Assumed Data:</w:t>
      </w:r>
      <w:r>
        <w:t xml:space="preserve"> </w:t>
      </w:r>
      <w:r>
        <w:t xml:space="preserve">For parameters where placeholders were provided (e.g., specific transport distances, last-mile delivery mechanisms, specific emission factors for grid electricity, and EoL scenarios), industry average or plausible representative values were used. Actual values might vary, impacting the final footprint.</w:t>
      </w:r>
    </w:p>
    <w:p>
      <w:pPr>
        <w:numPr>
          <w:ilvl w:val="0"/>
          <w:numId w:val="1020"/>
        </w:numPr>
        <w:pStyle w:val="Compact"/>
      </w:pPr>
      <w:r>
        <w:rPr>
          <w:bCs/>
          <w:b/>
        </w:rPr>
        <w:t xml:space="preserve">System Boundary:</w:t>
      </w:r>
      <w:r>
        <w:t xml:space="preserve"> </w:t>
      </w:r>
      <w:r>
        <w:t xml:space="preserve">While expanded to include key downstream impacts, some elements (e.g., business travel, employee commuting of pppuglfpxe not directly involved in production, capital goods of the factory) are outside the defined \'factory_gate\' + downstream focus and not included.</w:t>
      </w:r>
    </w:p>
    <w:p>
      <w:pPr>
        <w:numPr>
          <w:ilvl w:val="0"/>
          <w:numId w:val="1020"/>
        </w:numPr>
        <w:pStyle w:val="Compact"/>
      </w:pPr>
      <w:r>
        <w:rPr>
          <w:bCs/>
          <w:b/>
        </w:rPr>
        <w:t xml:space="preserve">LSR Standard:</w:t>
      </w:r>
      <w:r>
        <w:t xml:space="preserve"> </w:t>
      </w:r>
      <w:r>
        <w:t xml:space="preserve">While adhering to the 2026 LSR Standard, the absence of specific land-use change data for the product\'s raw materials means the impact of land use is integrated through generic emission factors rather than specific, detailed quantification.</w:t>
      </w:r>
    </w:p>
    <w:p>
      <w:pPr>
        <w:numPr>
          <w:ilvl w:val="0"/>
          <w:numId w:val="1020"/>
        </w:numPr>
        <w:pStyle w:val="Compact"/>
      </w:pPr>
      <w:r>
        <w:rPr>
          <w:bCs/>
          <w:b/>
        </w:rPr>
        <w:t xml:space="preserve">Dynamic Supply Chain:</w:t>
      </w:r>
      <w:r>
        <w:t xml:space="preserve"> </w:t>
      </w:r>
      <w:r>
        <w:t xml:space="preserve">Supply chain complexities, including variations in supplier processes, evolving energy mixes, and logistics routes, can introduce variability not captured by static emission factors.</w:t>
      </w:r>
    </w:p>
    <w:bookmarkEnd w:id="41"/>
    <w:bookmarkStart w:id="44" w:name="recommendations-for-improvement"/>
    <w:p>
      <w:pPr>
        <w:pStyle w:val="Heading3"/>
      </w:pPr>
      <w:r>
        <w:t xml:space="preserve">Recommendations for Improvement:</w:t>
      </w:r>
    </w:p>
    <w:p>
      <w:pPr>
        <w:numPr>
          <w:ilvl w:val="0"/>
          <w:numId w:val="1021"/>
        </w:numPr>
        <w:pStyle w:val="Compact"/>
      </w:pPr>
      <w:r>
        <w:rPr>
          <w:bCs/>
          <w:b/>
        </w:rPr>
        <w:t xml:space="preserve">Optimize Last-Mile Delivery:</w:t>
      </w:r>
      <w:r>
        <w:t xml:space="preserve"> </w:t>
      </w:r>
      <w:r>
        <w:t xml:space="preserve">Explore partnerships with logistics providers utilizing electric vehicles, consolidate shipments, or investigate alternative last-mile delivery models to drastically reduce this hotspot.</w:t>
      </w:r>
    </w:p>
    <w:p>
      <w:pPr>
        <w:numPr>
          <w:ilvl w:val="0"/>
          <w:numId w:val="1021"/>
        </w:numPr>
        <w:pStyle w:val="Compact"/>
      </w:pPr>
      <w:r>
        <w:rPr>
          <w:bCs/>
          <w:b/>
        </w:rPr>
        <w:t xml:space="preserve">Enhance Production Energy Mix:</w:t>
      </w:r>
      <w:r>
        <w:t xml:space="preserve"> </w:t>
      </w:r>
      <w:r>
        <w:t xml:space="preserve">Further increase renewable energy procurement to 100% at the manufacturing facility or invest in on-site renewable energy generation. Implement energy efficiency measures across the production line.</w:t>
      </w:r>
    </w:p>
    <w:p>
      <w:pPr>
        <w:numPr>
          <w:ilvl w:val="0"/>
          <w:numId w:val="1021"/>
        </w:numPr>
        <w:pStyle w:val="Compact"/>
      </w:pPr>
      <w:r>
        <w:rPr>
          <w:bCs/>
          <w:b/>
        </w:rPr>
        <w:t xml:space="preserve">Material Decarbonization:</w:t>
      </w:r>
      <w:r>
        <w:t xml:space="preserve"> </w:t>
      </w:r>
      <w:r>
        <w:t xml:space="preserve">Engage with suppliers to identify and integrate lower-carbon materials, increase the use of recycled content, or explore design changes to reduce material intensity.</w:t>
      </w:r>
    </w:p>
    <w:p>
      <w:pPr>
        <w:numPr>
          <w:ilvl w:val="0"/>
          <w:numId w:val="1021"/>
        </w:numPr>
        <w:pStyle w:val="Compact"/>
      </w:pPr>
      <w:r>
        <w:rPr>
          <w:bCs/>
          <w:b/>
        </w:rPr>
        <w:t xml:space="preserve">Design for Longevity &amp; Efficiency:</w:t>
      </w:r>
      <w:r>
        <w:t xml:space="preserve"> </w:t>
      </w:r>
      <w:r>
        <w:t xml:space="preserve">Continue designing products for extended lifespans and optimize energy consumption during the use phase.</w:t>
      </w:r>
    </w:p>
    <w:p>
      <w:pPr>
        <w:numPr>
          <w:ilvl w:val="0"/>
          <w:numId w:val="1021"/>
        </w:numPr>
        <w:pStyle w:val="Compact"/>
      </w:pPr>
      <w:r>
        <w:rPr>
          <w:bCs/>
          <w:b/>
        </w:rPr>
        <w:t xml:space="preserve">Strengthen Circular Economy Initiatives:</w:t>
      </w:r>
      <w:r>
        <w:t xml:space="preserve"> </w:t>
      </w:r>
      <w:r>
        <w:t xml:space="preserve">Promote and expand the formal take-back program to ensure maximum product recovery and material recycling, potentially exploring repair and refurbishment models.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Device (xsfznovmff)</dc:title>
  <dc:creator/>
  <dc:description>Detailed Product Carbon Footprint (PCF) analysis report for Smart IoT Device (xsfznovmff) by pppuglfpxe, adhering to GHG Protocol and 2026 LSR Update, conducted by Senior Sustainability Consultant syxzdpixdu.</dc:description>
  <dc:language>en</dc:language>
  <cp:keywords/>
  <dcterms:created xsi:type="dcterms:W3CDTF">2026-07-15T09:40:24Z</dcterms:created>
  <dcterms:modified xsi:type="dcterms:W3CDTF">2026-07-15T09:40:24Z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