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Sensor</w:t>
      </w:r>
      <w:r>
        <w:t xml:space="preserve"> </w:t>
      </w:r>
      <w:r>
        <w:t xml:space="preserve">(iroirtizjh)</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smart-home-sensor-iroirtizjh"/>
    <w:p>
      <w:pPr>
        <w:pStyle w:val="Heading2"/>
      </w:pPr>
      <w:r>
        <w:t xml:space="preserve">Product: Smart Home Sensor (iroirtizjh)</w:t>
      </w:r>
    </w:p>
    <w:p>
      <w:pPr>
        <w:pStyle w:val="FirstParagraph"/>
      </w:pPr>
      <w:r>
        <w:rPr>
          <w:bCs/>
          <w:b/>
        </w:rPr>
        <w:t xml:space="preserve">Company Name:</w:t>
      </w:r>
      <w:r>
        <w:t xml:space="preserve"> </w:t>
      </w:r>
      <w:r>
        <w:t xml:space="preserve">fqosyhlkjf</w:t>
      </w:r>
    </w:p>
    <w:p>
      <w:pPr>
        <w:pStyle w:val="BodyText"/>
      </w:pPr>
      <w:r>
        <w:rPr>
          <w:bCs/>
          <w:b/>
        </w:rPr>
        <w:t xml:space="preserve">Senior Sustainability Consultant:</w:t>
      </w:r>
      <w:r>
        <w:t xml:space="preserve"> </w:t>
      </w:r>
      <w:r>
        <w:t xml:space="preserve">lltnqzhugw</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for illustrative purposes. For official compliance and detailed verification, primary data collection and rigorous third-party auditing are recommended.</w:t>
      </w:r>
    </w:p>
    <w:bookmarkEnd w:id="20"/>
    <w:bookmarkEnd w:id="21"/>
    <w:p>
      <w:r>
        <w:pict>
          <v:rect style="width:0;height:1.5pt" o:hralign="center" o:hrstd="t" o:hr="t"/>
        </w:pict>
      </w:r>
    </w:p>
    <w:bookmarkStart w:id="22"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Smart Home Sensor (iroirtizjh)</w:t>
      </w:r>
    </w:p>
    <w:p>
      <w:pPr>
        <w:pStyle w:val="BodyText"/>
      </w:pPr>
      <w:r>
        <w:rPr>
          <w:bCs/>
          <w:b/>
        </w:rPr>
        <w:t xml:space="preserve">Company:</w:t>
      </w:r>
      <w:r>
        <w:t xml:space="preserve"> </w:t>
      </w:r>
      <w:r>
        <w:t xml:space="preserve">fqosyhlkjf</w:t>
      </w:r>
    </w:p>
    <w:p>
      <w:pPr>
        <w:pStyle w:val="BodyText"/>
      </w:pPr>
      <w:r>
        <w:rPr>
          <w:bCs/>
          <w:b/>
        </w:rPr>
        <w:t xml:space="preserve">Consultant:</w:t>
      </w:r>
      <w:r>
        <w:t xml:space="preserve"> </w:t>
      </w:r>
      <w:r>
        <w:t xml:space="preserve">lltnqzhugw, Senior Sustainability Consultant</w:t>
      </w:r>
    </w:p>
    <w:p>
      <w:pPr>
        <w:pStyle w:val="BodyText"/>
      </w:pPr>
      <w:r>
        <w:rPr>
          <w:bCs/>
          <w:b/>
        </w:rPr>
        <w:t xml:space="preserve">Generated Date:</w:t>
      </w:r>
      <w:r>
        <w:t xml:space="preserve"> </w:t>
      </w:r>
      <w:r>
        <w:t xml:space="preserve">June 4,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Smart Home Sensor (iroirtizjh) manufactured by fqosyhlkjf. The analysis follows the Greenhouse Gas (GHG) Protocol Product Life Cycle Accounting and Reporting Standard, incorporating the 2026 Land Sector and Removals (LSR) Standard updates. The total cradle-to-grave carbon footprint for one functional unit of the Smart Home Sensor is calculated to be</w:t>
      </w:r>
      <w:r>
        <w:t xml:space="preserve"> </w:t>
      </w:r>
      <w:r>
        <w:rPr>
          <w:bCs/>
          <w:b/>
        </w:rPr>
        <w:t xml:space="preserve">5.631 kg CO₂e</w:t>
      </w:r>
      <w:r>
        <w:t xml:space="preserve">. The use phase of the product represents the most significant hotspot, primarily due to electricity consumption over its lifespan.</w:t>
      </w:r>
    </w:p>
    <w:p>
      <w:r>
        <w:pict>
          <v:rect style="width:0;height:1.5pt" o:hralign="center" o:hrstd="t" o:hr="t"/>
        </w:pict>
      </w:r>
    </w:p>
    <w:bookmarkEnd w:id="23"/>
    <w:bookmarkStart w:id="24" w:name="introduction"/>
    <w:p>
      <w:pPr>
        <w:pStyle w:val="Heading2"/>
      </w:pPr>
      <w:r>
        <w:t xml:space="preserve">1. Introduction</w:t>
      </w:r>
    </w:p>
    <w:p>
      <w:pPr>
        <w:pStyle w:val="FirstParagraph"/>
      </w:pPr>
      <w:r>
        <w:t xml:space="preserve">The imperative for businesses to understand and manage their environmental impact has never been greater. A Product Carbon Footprint (PCF) provides a comprehensive quantification of greenhouse gas (GHG) emissions associated with a product\'s entire life cycle. This report aims to identify the main sources of emissions for the Smart Home Sensor (iroirtizjh), enabling fqosyhlkjf to target reduction efforts effectively.</w:t>
      </w:r>
    </w:p>
    <w:p>
      <w:r>
        <w:pict>
          <v:rect style="width:0;height:1.5pt" o:hralign="center" o:hrstd="t" o:hr="t"/>
        </w:pict>
      </w:r>
    </w:p>
    <w:bookmarkEnd w:id="24"/>
    <w:bookmarkStart w:id="35" w:name="methodology"/>
    <w:p>
      <w:pPr>
        <w:pStyle w:val="Heading2"/>
      </w:pPr>
      <w:r>
        <w:t xml:space="preserve">2. Methodology</w:t>
      </w:r>
    </w:p>
    <w:p>
      <w:pPr>
        <w:pStyle w:val="FirstParagraph"/>
      </w:pPr>
      <w:r>
        <w:t xml:space="preserve">The PCF analysis was conducted adhering strictly to the GHG Protocol Product Life Cycle Accounting and Reporting Standard. The methodology comprised the following five steps:</w:t>
      </w:r>
    </w:p>
    <w:bookmarkStart w:id="25"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the Smart Home Sensor (iroirtizjh).</w:t>
      </w:r>
    </w:p>
    <w:p>
      <w:pPr>
        <w:numPr>
          <w:ilvl w:val="0"/>
          <w:numId w:val="1001"/>
        </w:numPr>
        <w:pStyle w:val="Compact"/>
      </w:pPr>
      <w:r>
        <w:rPr>
          <w:bCs/>
          <w:b/>
        </w:rPr>
        <w:t xml:space="preserve">System Boundary:</w:t>
      </w:r>
      <w:r>
        <w:t xml:space="preserve"> </w:t>
      </w:r>
      <w:r>
        <w:t xml:space="preserve">"Cradle-to-grave," extending from raw material extraction through manufacturing, transportation, use, and end-of-life treatment. However, for the initial data collection and detailed BOM, the focus for primary data is "factory_gate" for production emissions, with value chain (Scope 3) including upstream and downstream activities.</w:t>
      </w:r>
    </w:p>
    <w:p>
      <w:pPr>
        <w:numPr>
          <w:ilvl w:val="0"/>
          <w:numId w:val="1001"/>
        </w:numPr>
        <w:pStyle w:val="Compact"/>
      </w:pPr>
      <w:r>
        <w:rPr>
          <w:bCs/>
          <w:b/>
        </w:rPr>
        <w:t xml:space="preserve">Geographic Scope:</w:t>
      </w:r>
      <w:r>
        <w:t xml:space="preserve"> </w:t>
      </w:r>
      <w:r>
        <w:t xml:space="preserve">Final Production Country: China, Supply Chain Focus: Europe Focused (for downstream transport and use phase).</w:t>
      </w:r>
    </w:p>
    <w:p>
      <w:pPr>
        <w:numPr>
          <w:ilvl w:val="0"/>
          <w:numId w:val="1001"/>
        </w:numPr>
        <w:pStyle w:val="Compact"/>
      </w:pPr>
      <w:r>
        <w:rPr>
          <w:bCs/>
          <w:b/>
        </w:rPr>
        <w:t xml:space="preserve">Accounting Standard:</w:t>
      </w:r>
      <w:r>
        <w:t xml:space="preserve"> </w:t>
      </w:r>
      <w:r>
        <w:t xml:space="preserve">GHG Protocol. This standard provides a framework for measuring and managing emissions, categorizing them into Scope 1, 2, and 3.</w:t>
      </w:r>
    </w:p>
    <w:p>
      <w:pPr>
        <w:numPr>
          <w:ilvl w:val="0"/>
          <w:numId w:val="1001"/>
        </w:numPr>
        <w:pStyle w:val="Compact"/>
      </w:pPr>
      <w:r>
        <w:rPr>
          <w:bCs/>
          <w:b/>
        </w:rPr>
        <w:t xml:space="preserve">Allocation:</w:t>
      </w:r>
      <w:r>
        <w:t xml:space="preserve"> </w:t>
      </w:r>
      <w:r>
        <w:t xml:space="preserve">Mass allocation was applied for co-product scenarios where relevant (not explicitly required for this specific product\'s BOM, where emissions are directly attributed to component quantities).</w:t>
      </w:r>
    </w:p>
    <w:bookmarkEnd w:id="25"/>
    <w:bookmarkStart w:id="26" w:name="map-lifecycle-lci-inventory-stages"/>
    <w:p>
      <w:pPr>
        <w:pStyle w:val="Heading3"/>
      </w:pPr>
      <w:r>
        <w:t xml:space="preserve">2.2. Map Lifecycle (LCI Inventory Stages)</w:t>
      </w:r>
    </w:p>
    <w:p>
      <w:pPr>
        <w:pStyle w:val="FirstParagraph"/>
      </w:pPr>
      <w:r>
        <w:t xml:space="preserve">The lifecycle of the Smart Home Sensor (iroirtizjh) was mapped into the following stages:</w:t>
      </w:r>
    </w:p>
    <w:p>
      <w:pPr>
        <w:numPr>
          <w:ilvl w:val="0"/>
          <w:numId w:val="1002"/>
        </w:numPr>
        <w:pStyle w:val="Compact"/>
      </w:pPr>
      <w:r>
        <w:rPr>
          <w:bCs/>
          <w:b/>
        </w:rPr>
        <w:t xml:space="preserve">Material Acquisition &amp; Pre-processing (Upstream):</w:t>
      </w:r>
      <w:r>
        <w:t xml:space="preserve"> </w:t>
      </w:r>
      <w:r>
        <w:t xml:space="preserve">Extraction and processing of raw materials for all components listed in the Bill of Materials (BOM).</w:t>
      </w:r>
    </w:p>
    <w:p>
      <w:pPr>
        <w:numPr>
          <w:ilvl w:val="0"/>
          <w:numId w:val="1002"/>
        </w:numPr>
        <w:pStyle w:val="Compact"/>
      </w:pPr>
      <w:r>
        <w:rPr>
          <w:bCs/>
          <w:b/>
        </w:rPr>
        <w:t xml:space="preserve">Manufacturing (Core Production):</w:t>
      </w:r>
      <w:r>
        <w:t xml:space="preserve"> </w:t>
      </w:r>
      <w:r>
        <w:t xml:space="preserve">Assembly and fabrication of the Smart Home Sensor at fqosyhlkjf\'s facilities in China. This includes energy consumption during the production process.</w:t>
      </w:r>
    </w:p>
    <w:p>
      <w:pPr>
        <w:numPr>
          <w:ilvl w:val="0"/>
          <w:numId w:val="1002"/>
        </w:numPr>
        <w:pStyle w:val="Compact"/>
      </w:pPr>
      <w:r>
        <w:rPr>
          <w:bCs/>
          <w:b/>
        </w:rPr>
        <w:t xml:space="preserve">Transport (Logistics):</w:t>
      </w:r>
      <w:r>
        <w:t xml:space="preserve"> </w:t>
      </w:r>
      <w:r>
        <w:t xml:space="preserve">Transportation of components to the manufacturing plant (upstream), and distribution of the finished product from the factory to the end-consumer (downstream).</w:t>
      </w:r>
    </w:p>
    <w:p>
      <w:pPr>
        <w:numPr>
          <w:ilvl w:val="0"/>
          <w:numId w:val="1002"/>
        </w:numPr>
        <w:pStyle w:val="Compact"/>
      </w:pPr>
      <w:r>
        <w:rPr>
          <w:bCs/>
          <w:b/>
        </w:rPr>
        <w:t xml:space="preserve">Use Phase (Downstream):</w:t>
      </w:r>
      <w:r>
        <w:t xml:space="preserve"> </w:t>
      </w:r>
      <w:r>
        <w:t xml:space="preserve">Energy consumption of the product during its intended lifespan by the end-user.</w:t>
      </w:r>
    </w:p>
    <w:p>
      <w:pPr>
        <w:numPr>
          <w:ilvl w:val="0"/>
          <w:numId w:val="1002"/>
        </w:numPr>
        <w:pStyle w:val="Compact"/>
      </w:pPr>
      <w:r>
        <w:rPr>
          <w:bCs/>
          <w:b/>
        </w:rPr>
        <w:t xml:space="preserve">End-of-Life (Downstream):</w:t>
      </w:r>
      <w:r>
        <w:t xml:space="preserve"> </w:t>
      </w:r>
      <w:r>
        <w:t xml:space="preserve">Collection, recycling, and disposal of the product components at the end of its useful life.</w:t>
      </w:r>
    </w:p>
    <w:bookmarkEnd w:id="26"/>
    <w:bookmarkStart w:id="32" w:name="Xa91187a912863b80d0792d038f53cfe5bb16b28"/>
    <w:p>
      <w:pPr>
        <w:pStyle w:val="Heading3"/>
      </w:pPr>
      <w:r>
        <w:t xml:space="preserve">2.3. Collect Data (Primary &amp; Secondary Data Points)</w:t>
      </w:r>
    </w:p>
    <w:p>
      <w:pPr>
        <w:pStyle w:val="FirstParagraph"/>
      </w:pPr>
      <w:r>
        <w:t xml:space="preserve">Both primary and secondary data were utilized. Primary data was simulated based on the provided parameters, while secondary data (emission factors) were sourced from industry-standard databases such as Ecoinvent and DEFRA equivalents for global applicability.</w:t>
      </w:r>
    </w:p>
    <w:bookmarkStart w:id="27" w:name="X8ebda8fb02b3fbcf4132f5390475141b781bdc9"/>
    <w:p>
      <w:pPr>
        <w:pStyle w:val="Heading4"/>
      </w:pPr>
      <w:r>
        <w:t xml:space="preserve">2.3.1. Detailed Bill of Materials (BOM) Data (Simulated orsxjfzo)</w:t>
      </w:r>
    </w:p>
    <w:p>
      <w:pPr>
        <w:pStyle w:val="FirstParagraph"/>
      </w:pPr>
      <w:r>
        <w:t xml:space="preserve">The material composition of the Smart Home Sensor (iroirtizjh) is detailed below, with associated quantities and emission factors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(kgCO₂e/Unit)</w:t>
            </w:r>
          </w:p>
        </w:tc>
        <w:tc>
          <w:tcPr/>
          <w:p>
            <w:pPr>
              <w:pStyle w:val="Compact"/>
              <w:jc w:val="left"/>
            </w:pPr>
            <w:r>
              <w:t xml:space="preserve">Total Carbon (kgCO₂e)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ABS 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0.175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FR4 SMT 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25.00</w:t>
            </w:r>
          </w:p>
        </w:tc>
        <w:tc>
          <w:tcPr/>
          <w:p>
            <w:pPr>
              <w:pStyle w:val="Compact"/>
              <w:jc w:val="left"/>
            </w:pPr>
            <w:r>
              <w:t xml:space="preserve">0.250</w:t>
            </w:r>
          </w:p>
        </w:tc>
      </w:tr>
      <w:tr>
        <w:tc>
          <w:tcPr/>
          <w:p>
            <w:pPr>
              <w:pStyle w:val="Compact"/>
              <w:jc w:val="left"/>
            </w:pPr>
            <w:r>
              <w:t xml:space="preserve">M003</w:t>
            </w:r>
          </w:p>
        </w:tc>
        <w:tc>
          <w:tcPr/>
          <w:p>
            <w:pPr>
              <w:pStyle w:val="Compact"/>
              <w:jc w:val="left"/>
            </w:pPr>
            <w:r>
              <w:t xml:space="preserve">Microcontroller</w:t>
            </w:r>
          </w:p>
        </w:tc>
        <w:tc>
          <w:tcPr/>
          <w:p>
            <w:pPr>
              <w:pStyle w:val="Compact"/>
              <w:jc w:val="left"/>
            </w:pPr>
            <w:r>
              <w:t xml:space="preserve">Semiconductors</w:t>
            </w:r>
          </w:p>
        </w:tc>
        <w:tc>
          <w:tcPr/>
          <w:p>
            <w:pPr>
              <w:pStyle w:val="Compact"/>
              <w:jc w:val="left"/>
            </w:pPr>
            <w:r>
              <w:t xml:space="preserve">Silicon Wafer Fabrication</w:t>
            </w:r>
          </w:p>
        </w:tc>
        <w:tc>
          <w:tcPr/>
          <w:p>
            <w:pPr>
              <w:pStyle w:val="Compact"/>
              <w:jc w:val="left"/>
            </w:pPr>
            <w:r>
              <w:t xml:space="preserve">0.001</w:t>
            </w:r>
          </w:p>
        </w:tc>
        <w:tc>
          <w:tcPr/>
          <w:p>
            <w:pPr>
              <w:pStyle w:val="Compact"/>
              <w:jc w:val="left"/>
            </w:pPr>
            <w:r>
              <w:t xml:space="preserve">kg</w:t>
            </w:r>
          </w:p>
        </w:tc>
        <w:tc>
          <w:tcPr/>
          <w:p>
            <w:pPr>
              <w:pStyle w:val="Compact"/>
              <w:jc w:val="left"/>
            </w:pPr>
            <w:r>
              <w:t xml:space="preserve">500.00</w:t>
            </w:r>
          </w:p>
        </w:tc>
        <w:tc>
          <w:tcPr/>
          <w:p>
            <w:pPr>
              <w:pStyle w:val="Compact"/>
              <w:jc w:val="left"/>
            </w:pPr>
            <w:r>
              <w:t xml:space="preserve">0.500</w:t>
            </w:r>
          </w:p>
        </w:tc>
      </w:tr>
      <w:tr>
        <w:tc>
          <w:tcPr/>
          <w:p>
            <w:pPr>
              <w:pStyle w:val="Compact"/>
              <w:jc w:val="left"/>
            </w:pPr>
            <w:r>
              <w:t xml:space="preserve">M004</w:t>
            </w:r>
          </w:p>
        </w:tc>
        <w:tc>
          <w:tcPr/>
          <w:p>
            <w:pPr>
              <w:pStyle w:val="Compact"/>
              <w:jc w:val="left"/>
            </w:pPr>
            <w:r>
              <w:t xml:space="preserve">Li-ion Battery</w:t>
            </w:r>
          </w:p>
        </w:tc>
        <w:tc>
          <w:tcPr/>
          <w:p>
            <w:pPr>
              <w:pStyle w:val="Compact"/>
              <w:jc w:val="left"/>
            </w:pPr>
            <w:r>
              <w:t xml:space="preserve">Energy Storage</w:t>
            </w:r>
          </w:p>
        </w:tc>
        <w:tc>
          <w:tcPr/>
          <w:p>
            <w:pPr>
              <w:pStyle w:val="Compact"/>
              <w:jc w:val="left"/>
            </w:pPr>
            <w:r>
              <w:t xml:space="preserve">Battery 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0.300</w:t>
            </w:r>
          </w:p>
        </w:tc>
      </w:tr>
      <w:tr>
        <w:tc>
          <w:tcPr/>
          <w:p>
            <w:pPr>
              <w:pStyle w:val="Compact"/>
              <w:jc w:val="left"/>
            </w:pPr>
            <w:r>
              <w:t xml:space="preserve">M005</w:t>
            </w:r>
          </w:p>
        </w:tc>
        <w:tc>
          <w:tcPr/>
          <w:p>
            <w:pPr>
              <w:pStyle w:val="Compact"/>
              <w:jc w:val="left"/>
            </w:pPr>
            <w:r>
              <w:t xml:space="preserve">Sensors (x3)</w:t>
            </w:r>
          </w:p>
        </w:tc>
        <w:tc>
          <w:tcPr/>
          <w:p>
            <w:pPr>
              <w:pStyle w:val="Compact"/>
              <w:jc w:val="left"/>
            </w:pPr>
            <w:r>
              <w:t xml:space="preserve">Electronics</w:t>
            </w:r>
          </w:p>
        </w:tc>
        <w:tc>
          <w:tcPr/>
          <w:p>
            <w:pPr>
              <w:pStyle w:val="Compact"/>
              <w:jc w:val="left"/>
            </w:pPr>
            <w:r>
              <w:t xml:space="preserve">Component Assembly</w:t>
            </w:r>
          </w:p>
        </w:tc>
        <w:tc>
          <w:tcPr/>
          <w:p>
            <w:pPr>
              <w:pStyle w:val="Compact"/>
              <w:jc w:val="left"/>
            </w:pPr>
            <w:r>
              <w:t xml:space="preserve">0.005</w:t>
            </w:r>
          </w:p>
        </w:tc>
        <w:tc>
          <w:tcPr/>
          <w:p>
            <w:pPr>
              <w:pStyle w:val="Compact"/>
              <w:jc w:val="left"/>
            </w:pPr>
            <w:r>
              <w:t xml:space="preserve">kg</w:t>
            </w:r>
          </w:p>
        </w:tc>
        <w:tc>
          <w:tcPr/>
          <w:p>
            <w:pPr>
              <w:pStyle w:val="Compact"/>
              <w:jc w:val="left"/>
            </w:pPr>
            <w:r>
              <w:t xml:space="preserve">100.00</w:t>
            </w:r>
          </w:p>
        </w:tc>
        <w:tc>
          <w:tcPr/>
          <w:p>
            <w:pPr>
              <w:pStyle w:val="Compact"/>
              <w:jc w:val="left"/>
            </w:pPr>
            <w:r>
              <w:t xml:space="preserve">0.500</w:t>
            </w:r>
          </w:p>
        </w:tc>
      </w:tr>
      <w:tr>
        <w:tc>
          <w:tcPr/>
          <w:p>
            <w:pPr>
              <w:pStyle w:val="Compact"/>
              <w:jc w:val="left"/>
            </w:pPr>
            <w:r>
              <w:t xml:space="preserve">M006</w:t>
            </w:r>
          </w:p>
        </w:tc>
        <w:tc>
          <w:tcPr/>
          <w:p>
            <w:pPr>
              <w:pStyle w:val="Compact"/>
              <w:jc w:val="left"/>
            </w:pPr>
            <w:r>
              <w:t xml:space="preserve">Product Packaging</w:t>
            </w:r>
          </w:p>
        </w:tc>
        <w:tc>
          <w:tcPr/>
          <w:p>
            <w:pPr>
              <w:pStyle w:val="Compact"/>
              <w:jc w:val="left"/>
            </w:pPr>
            <w:r>
              <w:t xml:space="preserve">Paper/Board</w:t>
            </w:r>
          </w:p>
        </w:tc>
        <w:tc>
          <w:tcPr/>
          <w:p>
            <w:pPr>
              <w:pStyle w:val="Compact"/>
              <w:jc w:val="left"/>
            </w:pPr>
            <w:r>
              <w:t xml:space="preserve">Cardboard Forming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0.030</w:t>
            </w:r>
          </w:p>
        </w:tc>
      </w:tr>
      <w:tr>
        <w:tc>
          <w:tcPr>
            <w:gridSpan w:val="7"/>
          </w:tcPr>
          <w:p>
            <w:pPr>
              <w:pStyle w:val="Compact"/>
              <w:jc w:val="right"/>
            </w:pPr>
            <w:r>
              <w:rPr>
                <w:bCs/>
                <w:b/>
              </w:rPr>
              <w:t xml:space="preserve">Total Material Acquisition &amp; Pre-processing Emissions:</w:t>
            </w:r>
          </w:p>
        </w:tc>
        <w:tc>
          <w:tcPr/>
          <w:p>
            <w:pPr>
              <w:pStyle w:val="Compact"/>
              <w:jc w:val="left"/>
            </w:pPr>
            <w:r>
              <w:rPr>
                <w:bCs/>
                <w:b/>
              </w:rPr>
              <w:t xml:space="preserve">1.755 kgCO₂e</w:t>
            </w:r>
          </w:p>
        </w:tc>
      </w:tr>
    </w:tbl>
    <w:bookmarkEnd w:id="27"/>
    <w:bookmarkStart w:id="28" w:name="Xe74049a3d48e00371bfecfa22c06cb754fea122"/>
    <w:p>
      <w:pPr>
        <w:pStyle w:val="Heading4"/>
      </w:pPr>
      <w:r>
        <w:t xml:space="preserve">2.3.2. Energy Inputs for Production Phase (mmhzqdhgog &amp; wpyojnhmiu)</w:t>
      </w:r>
    </w:p>
    <w:p>
      <w:pPr>
        <w:numPr>
          <w:ilvl w:val="0"/>
          <w:numId w:val="1003"/>
        </w:numPr>
        <w:pStyle w:val="Compact"/>
      </w:pPr>
      <w:r>
        <w:rPr>
          <w:bCs/>
          <w:b/>
        </w:rPr>
        <w:t xml:space="preserve">Energy Intensity (kWh/unit):</w:t>
      </w:r>
      <w:r>
        <w:t xml:space="preserve"> </w:t>
      </w:r>
      <w:r>
        <w:t xml:space="preserve">0.5 kWh/unit</w:t>
      </w:r>
    </w:p>
    <w:p>
      <w:pPr>
        <w:numPr>
          <w:ilvl w:val="0"/>
          <w:numId w:val="1003"/>
        </w:numPr>
        <w:pStyle w:val="Compact"/>
      </w:pPr>
      <w:r>
        <w:rPr>
          <w:bCs/>
          <w:b/>
        </w:rPr>
        <w:t xml:space="preserve">Renewable Energy Usage:</w:t>
      </w:r>
      <w:r>
        <w:t xml:space="preserve"> </w:t>
      </w:r>
      <w:r>
        <w:t xml:space="preserve">60%</w:t>
      </w:r>
    </w:p>
    <w:p>
      <w:pPr>
        <w:numPr>
          <w:ilvl w:val="0"/>
          <w:numId w:val="1003"/>
        </w:numPr>
        <w:pStyle w:val="Compact"/>
      </w:pPr>
      <w:r>
        <w:rPr>
          <w:bCs/>
          <w:b/>
        </w:rPr>
        <w:t xml:space="preserve">Electricity Grid Emission Factor (China):</w:t>
      </w:r>
      <w:r>
        <w:t xml:space="preserve"> </w:t>
      </w:r>
      <w:r>
        <w:t xml:space="preserve">0.65 kgCO₂e/kWh</w:t>
      </w:r>
    </w:p>
    <w:p>
      <w:pPr>
        <w:numPr>
          <w:ilvl w:val="0"/>
          <w:numId w:val="1003"/>
        </w:numPr>
        <w:pStyle w:val="Compact"/>
      </w:pPr>
      <w:r>
        <w:rPr>
          <w:bCs/>
          <w:b/>
        </w:rPr>
        <w:t xml:space="preserve">Renewable Electricity Emission Factor:</w:t>
      </w:r>
      <w:r>
        <w:t xml:space="preserve"> </w:t>
      </w:r>
      <w:r>
        <w:t xml:space="preserve">0.02 kgCO₂e/kWh (representing residual emissions from renewable sources)</w:t>
      </w:r>
    </w:p>
    <w:bookmarkEnd w:id="28"/>
    <w:bookmarkStart w:id="29" w:name="X2f3f89b8af5b15a03fbc976d3cfca8d0ec23c60"/>
    <w:p>
      <w:pPr>
        <w:pStyle w:val="Heading4"/>
      </w:pPr>
      <w:r>
        <w:t xml:space="preserve">2.3.3. Logistics Data (Select Mode, eneerirwdd, Delivery Type)</w:t>
      </w:r>
    </w:p>
    <w:p>
      <w:pPr>
        <w:pStyle w:val="FirstParagraph"/>
      </w:pPr>
      <w:r>
        <w:t xml:space="preserve">The total product mass (including packaging) for transport calculations is estimated at 0.15 kg.</w:t>
      </w:r>
    </w:p>
    <w:p>
      <w:pPr>
        <w:numPr>
          <w:ilvl w:val="0"/>
          <w:numId w:val="1004"/>
        </w:numPr>
        <w:pStyle w:val="Compact"/>
      </w:pPr>
      <w:r>
        <w:rPr>
          <w:bCs/>
          <w:b/>
        </w:rPr>
        <w:t xml:space="preserve">Transport Mode:</w:t>
      </w:r>
      <w:r>
        <w:t xml:space="preserve"> </w:t>
      </w:r>
      <w:r>
        <w:t xml:space="preserve">Ocean Freight (China to Europe port), Truck (Europe port to distribution center), Van (Last-Mile Delivery).</w:t>
      </w:r>
    </w:p>
    <w:p>
      <w:pPr>
        <w:numPr>
          <w:ilvl w:val="0"/>
          <w:numId w:val="1004"/>
        </w:numPr>
        <w:pStyle w:val="Compact"/>
      </w:pPr>
      <w:r>
        <w:rPr>
          <w:bCs/>
          <w:b/>
        </w:rPr>
        <w:t xml:space="preserve">Transport Distance:</w:t>
      </w:r>
    </w:p>
    <w:p>
      <w:pPr>
        <w:numPr>
          <w:ilvl w:val="1"/>
          <w:numId w:val="1005"/>
        </w:numPr>
        <w:pStyle w:val="Compact"/>
      </w:pPr>
      <w:r>
        <w:t xml:space="preserve">Ocean Freight: 20,000 km</w:t>
      </w:r>
    </w:p>
    <w:p>
      <w:pPr>
        <w:numPr>
          <w:ilvl w:val="1"/>
          <w:numId w:val="1005"/>
        </w:numPr>
        <w:pStyle w:val="Compact"/>
      </w:pPr>
      <w:r>
        <w:t xml:space="preserve">Truck: 1,000 km</w:t>
      </w:r>
    </w:p>
    <w:p>
      <w:pPr>
        <w:numPr>
          <w:ilvl w:val="1"/>
          <w:numId w:val="1005"/>
        </w:numPr>
        <w:pStyle w:val="Compact"/>
      </w:pPr>
      <w:r>
        <w:t xml:space="preserve">Van (Last-Mile): 100 km</w:t>
      </w:r>
    </w:p>
    <w:p>
      <w:pPr>
        <w:numPr>
          <w:ilvl w:val="0"/>
          <w:numId w:val="1004"/>
        </w:numPr>
        <w:pStyle w:val="Compact"/>
      </w:pPr>
      <w:r>
        <w:rPr>
          <w:bCs/>
          <w:b/>
        </w:rPr>
        <w:t xml:space="preserve">Last-Mile Delivery Channel:</w:t>
      </w:r>
      <w:r>
        <w:t xml:space="preserve"> </w:t>
      </w:r>
      <w:r>
        <w:t xml:space="preserve">Direct-to-Consumer via parcel service.</w:t>
      </w:r>
    </w:p>
    <w:p>
      <w:pPr>
        <w:numPr>
          <w:ilvl w:val="0"/>
          <w:numId w:val="1004"/>
        </w:numPr>
        <w:pStyle w:val="Compact"/>
      </w:pPr>
      <w:r>
        <w:rPr>
          <w:bCs/>
          <w:b/>
        </w:rPr>
        <w:t xml:space="preserve">Transport Emission Factors (Illustrative):</w:t>
      </w:r>
    </w:p>
    <w:p>
      <w:pPr>
        <w:numPr>
          <w:ilvl w:val="1"/>
          <w:numId w:val="1006"/>
        </w:numPr>
        <w:pStyle w:val="Compact"/>
      </w:pPr>
      <w:r>
        <w:t xml:space="preserve">Ocean Freight: 0.01 kgCO₂e/tkm</w:t>
      </w:r>
    </w:p>
    <w:p>
      <w:pPr>
        <w:numPr>
          <w:ilvl w:val="1"/>
          <w:numId w:val="1006"/>
        </w:numPr>
        <w:pStyle w:val="Compact"/>
      </w:pPr>
      <w:r>
        <w:t xml:space="preserve">Heavy Goods Vehicle (Truck): 0.08 kgCO₂e/tkm</w:t>
      </w:r>
    </w:p>
    <w:p>
      <w:pPr>
        <w:numPr>
          <w:ilvl w:val="1"/>
          <w:numId w:val="1006"/>
        </w:numPr>
        <w:pStyle w:val="Compact"/>
      </w:pPr>
      <w:r>
        <w:t xml:space="preserve">Light Commercial Vehicle (Van/Last-Mile): 0.20 kgCO₂e/tkm</w:t>
      </w:r>
    </w:p>
    <w:bookmarkEnd w:id="29"/>
    <w:bookmarkStart w:id="30" w:name="use-phase-data-qzxsshwvjk-hleetjkxng"/>
    <w:p>
      <w:pPr>
        <w:pStyle w:val="Heading4"/>
      </w:pPr>
      <w:r>
        <w:t xml:space="preserve">2.3.4. Use Phase Data (qzxsshwvjk &amp; hleetjkxng)</w:t>
      </w:r>
    </w:p>
    <w:p>
      <w:pPr>
        <w:numPr>
          <w:ilvl w:val="0"/>
          <w:numId w:val="1007"/>
        </w:numPr>
        <w:pStyle w:val="Compact"/>
      </w:pPr>
      <w:r>
        <w:rPr>
          <w:bCs/>
          <w:b/>
        </w:rPr>
        <w:t xml:space="preserve">Product Lifespan:</w:t>
      </w:r>
      <w:r>
        <w:t xml:space="preserve"> </w:t>
      </w:r>
      <w:r>
        <w:t xml:space="preserve">5 years (1825 days)</w:t>
      </w:r>
    </w:p>
    <w:p>
      <w:pPr>
        <w:numPr>
          <w:ilvl w:val="0"/>
          <w:numId w:val="1007"/>
        </w:numPr>
        <w:pStyle w:val="Compact"/>
      </w:pPr>
      <w:r>
        <w:rPr>
          <w:bCs/>
          <w:b/>
        </w:rPr>
        <w:t xml:space="preserve">Energy Consumption in Use:</w:t>
      </w:r>
      <w:r>
        <w:t xml:space="preserve"> </w:t>
      </w:r>
      <w:r>
        <w:t xml:space="preserve">0.01 kWh/day (average)</w:t>
      </w:r>
    </w:p>
    <w:p>
      <w:pPr>
        <w:numPr>
          <w:ilvl w:val="0"/>
          <w:numId w:val="1007"/>
        </w:numPr>
        <w:pStyle w:val="Compact"/>
      </w:pPr>
      <w:r>
        <w:rPr>
          <w:bCs/>
          <w:b/>
        </w:rPr>
        <w:t xml:space="preserve">Assumed User Electricity Grid Emission Factor (Europe average):</w:t>
      </w:r>
      <w:r>
        <w:t xml:space="preserve"> </w:t>
      </w:r>
      <w:r>
        <w:t xml:space="preserve">0.20 kgCO₂e/kWh (reflecting ongoing decarbonization of European grids).</w:t>
      </w:r>
    </w:p>
    <w:bookmarkEnd w:id="30"/>
    <w:bookmarkStart w:id="31" w:name="X29b4863af0b5637dac52bf5df9be74b55b8dd46"/>
    <w:p>
      <w:pPr>
        <w:pStyle w:val="Heading4"/>
      </w:pPr>
      <w:r>
        <w:t xml:space="preserve">2.3.5. End-of-Life (EoL) Scenarios (upvzxyteiq &amp; hnznfqzejo)</w:t>
      </w:r>
    </w:p>
    <w:p>
      <w:pPr>
        <w:numPr>
          <w:ilvl w:val="0"/>
          <w:numId w:val="1008"/>
        </w:numPr>
        <w:pStyle w:val="Compact"/>
      </w:pPr>
      <w:r>
        <w:rPr>
          <w:bCs/>
          <w:b/>
        </w:rPr>
        <w:t xml:space="preserve">Recyclability Percentage:</w:t>
      </w:r>
      <w:r>
        <w:t xml:space="preserve"> </w:t>
      </w:r>
      <w:r>
        <w:t xml:space="preserve">40%</w:t>
      </w:r>
    </w:p>
    <w:p>
      <w:pPr>
        <w:numPr>
          <w:ilvl w:val="0"/>
          <w:numId w:val="1008"/>
        </w:numPr>
        <w:pStyle w:val="Compact"/>
      </w:pPr>
      <w:r>
        <w:rPr>
          <w:bCs/>
          <w:b/>
        </w:rPr>
        <w:t xml:space="preserve">Circular/Take-back Programs:</w:t>
      </w:r>
      <w:r>
        <w:t xml:space="preserve"> </w:t>
      </w:r>
      <w:r>
        <w:t xml:space="preserve">Limited manufacturer take-back program for electronics waste (hnznfqzejo).</w:t>
      </w:r>
    </w:p>
    <w:p>
      <w:pPr>
        <w:numPr>
          <w:ilvl w:val="0"/>
          <w:numId w:val="1008"/>
        </w:numPr>
        <w:pStyle w:val="Compact"/>
      </w:pPr>
      <w:r>
        <w:rPr>
          <w:bCs/>
          <w:b/>
        </w:rPr>
        <w:t xml:space="preserve">End-of-Life Treatment Emission Factor (for non-recycled waste):</w:t>
      </w:r>
      <w:r>
        <w:t xml:space="preserve"> </w:t>
      </w:r>
      <w:r>
        <w:t xml:space="preserve">0.5 kgCO₂e/kg (generic mixed waste factor for landfill/incineration).</w:t>
      </w:r>
    </w:p>
    <w:bookmarkEnd w:id="31"/>
    <w:bookmarkEnd w:id="32"/>
    <w:bookmarkStart w:id="33" w:name="Xe156f3a774124d90821f5a9dd2a33dd50db36e7"/>
    <w:p>
      <w:pPr>
        <w:pStyle w:val="Heading3"/>
      </w:pPr>
      <w:r>
        <w:t xml:space="preserve">2.4. Calculate Emissions (Activity * Emission Factor = CO₂e)</w:t>
      </w:r>
    </w:p>
    <w:p>
      <w:pPr>
        <w:pStyle w:val="FirstParagraph"/>
      </w:pPr>
      <w:r>
        <w:t xml:space="preserve">Emissions were calculated for each lifecycle stage by multiplying activity data (e.g., kg of material, kWh of energy, tkm of transport) by their respective emission factors. All results are expressed in carbon dioxide equivalents (CO₂e).</w:t>
      </w:r>
    </w:p>
    <w:bookmarkEnd w:id="33"/>
    <w:bookmarkStart w:id="34" w:name="review-report"/>
    <w:p>
      <w:pPr>
        <w:pStyle w:val="Heading3"/>
      </w:pPr>
      <w:r>
        <w:t xml:space="preserve">2.5. Review &amp; Report</w:t>
      </w:r>
    </w:p>
    <w:p>
      <w:pPr>
        <w:pStyle w:val="FirstParagraph"/>
      </w:pPr>
      <w:r>
        <w:t xml:space="preserve">The results were reviewed to identify emission hotspots and assess data reliability. The report aims to present these findings clearly and concisely.</w:t>
      </w:r>
    </w:p>
    <w:p>
      <w:r>
        <w:pict>
          <v:rect style="width:0;height:1.5pt" o:hralign="center" o:hrstd="t" o:hr="t"/>
        </w:pict>
      </w:r>
    </w:p>
    <w:bookmarkEnd w:id="34"/>
    <w:bookmarkEnd w:id="35"/>
    <w:bookmarkStart w:id="37" w:name="ghg-protocol-compliance-2026-lsr-update"/>
    <w:p>
      <w:pPr>
        <w:pStyle w:val="Heading2"/>
      </w:pPr>
      <w:r>
        <w:t xml:space="preserve">3. GHG Protocol Compliance &amp; 2026 LSR Update</w:t>
      </w:r>
    </w:p>
    <w:p>
      <w:pPr>
        <w:pStyle w:val="FirstParagraph"/>
      </w:pPr>
      <w:r>
        <w:t xml:space="preserve">This analysis adheres to the GHG Protocol\'s requirements for categorizing emissions:</w:t>
      </w:r>
    </w:p>
    <w:p>
      <w:pPr>
        <w:numPr>
          <w:ilvl w:val="0"/>
          <w:numId w:val="1009"/>
        </w:numPr>
        <w:pStyle w:val="Compact"/>
      </w:pPr>
      <w:r>
        <w:rPr>
          <w:bCs/>
          <w:b/>
        </w:rPr>
        <w:t xml:space="preserve">Scope 1 (Direct Emissions):</w:t>
      </w:r>
      <w:r>
        <w:t xml:space="preserve"> </w:t>
      </w:r>
      <w:r>
        <w:t xml:space="preserve">Direct emissions from owned or controlled sources. For a product-level analysis, direct operational emissions from the manufacturing facility (e.g., fuel combustion in company-owned boilers) would fall here if the boundary extended beyond the "factory_gate" for operational control. This report focuses on product-specific emissions, where manufacturing energy is treated as Scope 2.</w:t>
      </w:r>
    </w:p>
    <w:p>
      <w:pPr>
        <w:numPr>
          <w:ilvl w:val="0"/>
          <w:numId w:val="1009"/>
        </w:numPr>
        <w:pStyle w:val="Compact"/>
      </w:pPr>
      <w:r>
        <w:rPr>
          <w:bCs/>
          <w:b/>
        </w:rPr>
        <w:t xml:space="preserve">Scope 2 (Purchased Energy Emissions):</w:t>
      </w:r>
      <w:r>
        <w:t xml:space="preserve"> </w:t>
      </w:r>
      <w:r>
        <w:t xml:space="preserve">Indirect emissions from the generation of purchased electricity, heat, or steam. For this analysis, the non-renewable portion of electricity consumed during the manufacturing phase in China is categorized here.</w:t>
      </w:r>
    </w:p>
    <w:p>
      <w:pPr>
        <w:numPr>
          <w:ilvl w:val="0"/>
          <w:numId w:val="1009"/>
        </w:numPr>
        <w:pStyle w:val="Compact"/>
      </w:pPr>
      <w:r>
        <w:rPr>
          <w:bCs/>
          <w:b/>
        </w:rPr>
        <w:t xml:space="preserve">Scope 3 (Value Chain Emissions):</w:t>
      </w:r>
      <w:r>
        <w:t xml:space="preserve"> </w:t>
      </w:r>
      <w:r>
        <w:t xml:space="preserve">All other indirect emissions that occur in the value chain of the reporting company, both upstream and downstream. This includes emissions from purchased materials, transportation, product use, and end-of-life treatment. The report ensures at least 95% coverage for Scope 3 reporting, as per 2026 requirements, by including all major value chain contributors.</w:t>
      </w:r>
    </w:p>
    <w:bookmarkStart w:id="36" w:name="X504f4a86e01fdcfa46a4589bb1b5e0cfaad8629"/>
    <w:p>
      <w:pPr>
        <w:pStyle w:val="Heading3"/>
      </w:pPr>
      <w:r>
        <w:t xml:space="preserve">3.1. 2026 Land Sector and Removals (LSR) Standard Update</w:t>
      </w:r>
    </w:p>
    <w:p>
      <w:pPr>
        <w:pStyle w:val="FirstParagraph"/>
      </w:pPr>
      <w:r>
        <w:t xml:space="preserve">The GHG Protocol\'s Land Sector and Removals (LSR) Standard, taking effect on January 1, 2027, provides new requirements and guidance for quantifying, reporting, and tracking land emissions and CO₂ removals. While the primary materials for the Smart Home Sensor (electronics, plastics, metals) are not directly tied to significant land use change or biogenic carbon removals in their immediate supply chain, the application of the LSR Standard would be critical for fqosyhlkjf if its operations or other product lines involved agriculture, forestry, or bio-based materials. The Standard\'s accompanying guidance, expected in Q2 2026, will provide further detail on implementation, including examples and calculation guidance. For this PCF, it\'s important to acknowledge that any land use impacts associated with raw material extraction (e.g., mining for metals) are inherently embedded within the emission factors of purchased goods and services (Scope 3, Category 1).</w:t>
      </w:r>
    </w:p>
    <w:p>
      <w:r>
        <w:pict>
          <v:rect style="width:0;height:1.5pt" o:hralign="center" o:hrstd="t" o:hr="t"/>
        </w:pict>
      </w:r>
    </w:p>
    <w:bookmarkEnd w:id="36"/>
    <w:bookmarkEnd w:id="37"/>
    <w:bookmarkStart w:id="45" w:name="emissions-calculation-results"/>
    <w:p>
      <w:pPr>
        <w:pStyle w:val="Heading2"/>
      </w:pPr>
      <w:r>
        <w:t xml:space="preserve">4. Emissions Calculation Results</w:t>
      </w:r>
    </w:p>
    <w:bookmarkStart w:id="38" w:name="Xc18ccee505a96855d6d631408ead570d599fb4f"/>
    <w:p>
      <w:pPr>
        <w:pStyle w:val="Heading3"/>
      </w:pPr>
      <w:r>
        <w:t xml:space="preserve">4.1. Breakdown of Emissions by Life Cycle Stage</w:t>
      </w:r>
    </w:p>
    <w:p>
      <w:pPr>
        <w:pStyle w:val="FirstParagraph"/>
      </w:pPr>
      <w:r>
        <w:t xml:space="preserve">The total Product Carbon Footprint for one unit of Smart Home Sensor (iroirtizjh) is</w:t>
      </w:r>
      <w:r>
        <w:t xml:space="preserve"> </w:t>
      </w:r>
      <w:r>
        <w:rPr>
          <w:bCs/>
          <w:b/>
        </w:rPr>
        <w:t xml:space="preserve">5.631 kg CO₂e</w:t>
      </w:r>
      <w:r>
        <w:t xml:space="preserv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CO₂e Emissions (kg)</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1.755</w:t>
            </w:r>
          </w:p>
        </w:tc>
        <w:tc>
          <w:tcPr/>
          <w:p>
            <w:pPr>
              <w:pStyle w:val="Compact"/>
              <w:jc w:val="left"/>
            </w:pPr>
            <w:r>
              <w:t xml:space="preserve">31.17%</w:t>
            </w:r>
          </w:p>
        </w:tc>
      </w:tr>
      <w:tr>
        <w:tc>
          <w:tcPr/>
          <w:p>
            <w:pPr>
              <w:pStyle w:val="Compact"/>
              <w:jc w:val="left"/>
            </w:pPr>
            <w:r>
              <w:t xml:space="preserve">Manufacturing (Energy Consumption)</w:t>
            </w:r>
          </w:p>
        </w:tc>
        <w:tc>
          <w:tcPr/>
          <w:p>
            <w:pPr>
              <w:pStyle w:val="Compact"/>
              <w:jc w:val="left"/>
            </w:pPr>
            <w:r>
              <w:t xml:space="preserve">Scope 2</w:t>
            </w:r>
          </w:p>
        </w:tc>
        <w:tc>
          <w:tcPr/>
          <w:p>
            <w:pPr>
              <w:pStyle w:val="Compact"/>
              <w:jc w:val="left"/>
            </w:pPr>
            <w:r>
              <w:t xml:space="preserve">0.136</w:t>
            </w:r>
          </w:p>
        </w:tc>
        <w:tc>
          <w:tcPr/>
          <w:p>
            <w:pPr>
              <w:pStyle w:val="Compact"/>
              <w:jc w:val="left"/>
            </w:pPr>
            <w:r>
              <w:t xml:space="preserve">2.42%</w:t>
            </w:r>
          </w:p>
        </w:tc>
      </w:tr>
      <w:tr>
        <w:tc>
          <w:tcPr/>
          <w:p>
            <w:pPr>
              <w:pStyle w:val="Compact"/>
              <w:jc w:val="left"/>
            </w:pPr>
            <w:r>
              <w:t xml:space="preserve">Transportation (Upstream &amp; Downstream)</w:t>
            </w:r>
          </w:p>
        </w:tc>
        <w:tc>
          <w:tcPr/>
          <w:p>
            <w:pPr>
              <w:pStyle w:val="Compact"/>
              <w:jc w:val="left"/>
            </w:pPr>
            <w:r>
              <w:t xml:space="preserve">Scope 3 (Cat. 4 &amp; 9)</w:t>
            </w:r>
          </w:p>
        </w:tc>
        <w:tc>
          <w:tcPr/>
          <w:p>
            <w:pPr>
              <w:pStyle w:val="Compact"/>
              <w:jc w:val="left"/>
            </w:pPr>
            <w:r>
              <w:t xml:space="preserve">0.045</w:t>
            </w:r>
          </w:p>
        </w:tc>
        <w:tc>
          <w:tcPr/>
          <w:p>
            <w:pPr>
              <w:pStyle w:val="Compact"/>
              <w:jc w:val="left"/>
            </w:pPr>
            <w:r>
              <w:t xml:space="preserve">0.80%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3.650</w:t>
            </w:r>
          </w:p>
        </w:tc>
        <w:tc>
          <w:tcPr/>
          <w:p>
            <w:pPr>
              <w:pStyle w:val="Compact"/>
              <w:jc w:val="left"/>
            </w:pPr>
            <w:r>
              <w:t xml:space="preserve">64.82%</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0.045</w:t>
            </w:r>
          </w:p>
        </w:tc>
        <w:tc>
          <w:tcPr/>
          <w:p>
            <w:pPr>
              <w:pStyle w:val="Compact"/>
              <w:jc w:val="left"/>
            </w:pPr>
            <w:r>
              <w:t xml:space="preserve">0.80%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5.631</w:t>
            </w:r>
          </w:p>
        </w:tc>
        <w:tc>
          <w:tcPr/>
          <w:p>
            <w:pPr>
              <w:pStyle w:val="Compact"/>
              <w:jc w:val="left"/>
            </w:pPr>
            <w:r>
              <w:rPr>
                <w:bCs/>
                <w:b/>
              </w:rPr>
              <w:t xml:space="preserve">100.00%</w:t>
            </w:r>
          </w:p>
        </w:tc>
      </w:tr>
    </w:tbl>
    <w:bookmarkEnd w:id="38"/>
    <w:bookmarkStart w:id="44" w:name="detailed-emissions-by-stage"/>
    <w:p>
      <w:pPr>
        <w:pStyle w:val="Heading3"/>
      </w:pPr>
      <w:r>
        <w:t xml:space="preserve">4.2. Detailed Emissions by Stage</w:t>
      </w:r>
    </w:p>
    <w:bookmarkStart w:id="39" w:name="Xcf9b99267f9faf094d2bbafecd149540fef7edc"/>
    <w:p>
      <w:pPr>
        <w:pStyle w:val="Heading4"/>
      </w:pPr>
      <w:r>
        <w:t xml:space="preserve">4.2.1. Material Acquisition &amp; Pre-processing (Scope 3 - Category 1)</w:t>
      </w:r>
    </w:p>
    <w:p>
      <w:pPr>
        <w:pStyle w:val="FirstParagraph"/>
      </w:pPr>
      <w:r>
        <w:t xml:space="preserve">This stage accounts for 31.17% of the total PCF, demonstrating a significant impact from the raw materials and their initial processing. The Microcontroller and Sensors, due to the energy-intensive nature of silicon wafer fabrication and complex component manufacturing, are major contributors.</w:t>
      </w:r>
    </w:p>
    <w:p>
      <w:pPr>
        <w:pStyle w:val="BodyText"/>
      </w:pPr>
      <w:r>
        <w:rPr>
          <w:bCs/>
          <w:b/>
        </w:rPr>
        <w:t xml:space="preserve">Total Emissions: 1.755 kg CO₂e</w:t>
      </w:r>
    </w:p>
    <w:bookmarkEnd w:id="39"/>
    <w:bookmarkStart w:id="40" w:name="manufacturing-energy-consumption-scope-2"/>
    <w:p>
      <w:pPr>
        <w:pStyle w:val="Heading4"/>
      </w:pPr>
      <w:r>
        <w:t xml:space="preserve">4.2.2. Manufacturing (Energy Consumption) (Scope 2)</w:t>
      </w:r>
    </w:p>
    <w:p>
      <w:pPr>
        <w:pStyle w:val="FirstParagraph"/>
      </w:pPr>
      <w:r>
        <w:t xml:space="preserve">Despite the energy intensity of 0.5 kWh/unit, fqosyhlkjf\'s 60% renewable energy usage significantly mitigates the emissions from this stage. The remaining 40% relies on the China grid mix.</w:t>
      </w:r>
    </w:p>
    <w:p>
      <w:pPr>
        <w:numPr>
          <w:ilvl w:val="0"/>
          <w:numId w:val="1010"/>
        </w:numPr>
        <w:pStyle w:val="Compact"/>
      </w:pPr>
      <w:r>
        <w:t xml:space="preserve">Non-renewable electricity emissions: 0.2 kWh * 0.65 kgCO₂e/kWh = 0.130 kgCO₂e</w:t>
      </w:r>
    </w:p>
    <w:p>
      <w:pPr>
        <w:numPr>
          <w:ilvl w:val="0"/>
          <w:numId w:val="1010"/>
        </w:numPr>
        <w:pStyle w:val="Compact"/>
      </w:pPr>
      <w:r>
        <w:t xml:space="preserve">Renewable electricity emissions (residual): 0.3 kWh * 0.02 kgCO₂e/kWh = 0.006 kgCO₂e</w:t>
      </w:r>
    </w:p>
    <w:p>
      <w:pPr>
        <w:pStyle w:val="FirstParagraph"/>
      </w:pPr>
      <w:r>
        <w:rPr>
          <w:bCs/>
          <w:b/>
        </w:rPr>
        <w:t xml:space="preserve">Total Emissions: 0.136 kg CO₂e</w:t>
      </w:r>
    </w:p>
    <w:bookmarkEnd w:id="40"/>
    <w:bookmarkStart w:id="41" w:name="transportation-scope-3---categories-4-9"/>
    <w:p>
      <w:pPr>
        <w:pStyle w:val="Heading4"/>
      </w:pPr>
      <w:r>
        <w:t xml:space="preserve">4.2.3. Transportation (Scope 3 - Categories 4 &amp; 9)</w:t>
      </w:r>
    </w:p>
    <w:p>
      <w:pPr>
        <w:pStyle w:val="FirstParagraph"/>
      </w:pPr>
      <w:r>
        <w:t xml:space="preserve">Transportation contributes a relatively small portion of the overall footprint, mainly due to the product\'s light weight (0.15 kg) and the efficiency of bulk shipping for longer distances. The last-mile delivery, despite being shorter, has a higher per-tkm emission factor.</w:t>
      </w:r>
    </w:p>
    <w:p>
      <w:pPr>
        <w:numPr>
          <w:ilvl w:val="0"/>
          <w:numId w:val="1011"/>
        </w:numPr>
        <w:pStyle w:val="Compact"/>
      </w:pPr>
      <w:r>
        <w:t xml:space="preserve">Ocean Freight: 20,000 km * 0.00015 tonnes * 0.01 kgCO₂e/tkm = 0.030 kgCO₂e</w:t>
      </w:r>
    </w:p>
    <w:p>
      <w:pPr>
        <w:numPr>
          <w:ilvl w:val="0"/>
          <w:numId w:val="1011"/>
        </w:numPr>
        <w:pStyle w:val="Compact"/>
      </w:pPr>
      <w:r>
        <w:t xml:space="preserve">Truck (Europe): 1,000 km * 0.00015 tonnes * 0.08 kgCO₂e/tkm = 0.012 kgCO₂e</w:t>
      </w:r>
    </w:p>
    <w:p>
      <w:pPr>
        <w:numPr>
          <w:ilvl w:val="0"/>
          <w:numId w:val="1011"/>
        </w:numPr>
        <w:pStyle w:val="Compact"/>
      </w:pPr>
      <w:r>
        <w:t xml:space="preserve">Van (Last-Mile): 100 km * 0.00015 tonnes * 0.20 kgCO₂e/tkm = 0.003 kgCO₂e</w:t>
      </w:r>
    </w:p>
    <w:p>
      <w:pPr>
        <w:pStyle w:val="FirstParagraph"/>
      </w:pPr>
      <w:r>
        <w:rPr>
          <w:bCs/>
          <w:b/>
        </w:rPr>
        <w:t xml:space="preserve">Total Emissions: 0.045 kg CO₂e</w:t>
      </w:r>
    </w:p>
    <w:bookmarkEnd w:id="41"/>
    <w:bookmarkStart w:id="42" w:name="use-phase-scope-3---category-11"/>
    <w:p>
      <w:pPr>
        <w:pStyle w:val="Heading4"/>
      </w:pPr>
      <w:r>
        <w:t xml:space="preserve">4.2.4. Use Phase (Scope 3 - Category 11)</w:t>
      </w:r>
    </w:p>
    <w:p>
      <w:pPr>
        <w:pStyle w:val="FirstParagraph"/>
      </w:pPr>
      <w:r>
        <w:t xml:space="preserve">The use phase is the most significant contributor, accounting for 64.82% of the total PCF. This is driven by the cumulative electricity consumption over the product\'s 5-year lifespan by end-users in Europe, using an average European grid mix emission factor.</w:t>
      </w:r>
    </w:p>
    <w:p>
      <w:pPr>
        <w:numPr>
          <w:ilvl w:val="0"/>
          <w:numId w:val="1012"/>
        </w:numPr>
        <w:pStyle w:val="Compact"/>
      </w:pPr>
      <w:r>
        <w:t xml:space="preserve">Total energy consumption: 0.01 kWh/day * 1825 days = 18.25 kWh</w:t>
      </w:r>
    </w:p>
    <w:p>
      <w:pPr>
        <w:numPr>
          <w:ilvl w:val="0"/>
          <w:numId w:val="1012"/>
        </w:numPr>
        <w:pStyle w:val="Compact"/>
      </w:pPr>
      <w:r>
        <w:t xml:space="preserve">Emissions: 18.25 kWh * 0.20 kgCO₂e/kWh = 3.650 kgCO₂e</w:t>
      </w:r>
    </w:p>
    <w:p>
      <w:pPr>
        <w:pStyle w:val="FirstParagraph"/>
      </w:pPr>
      <w:r>
        <w:rPr>
          <w:bCs/>
          <w:b/>
        </w:rPr>
        <w:t xml:space="preserve">Total Emissions: 3.650 kg CO₂e</w:t>
      </w:r>
    </w:p>
    <w:bookmarkEnd w:id="42"/>
    <w:bookmarkStart w:id="43" w:name="X3b289c06295cc7148ae63f9b9eb2fbf7a9228c8"/>
    <w:p>
      <w:pPr>
        <w:pStyle w:val="Heading4"/>
      </w:pPr>
      <w:r>
        <w:t xml:space="preserve">4.2.5. End-of-Life Treatment (Scope 3 - Category 12)</w:t>
      </w:r>
    </w:p>
    <w:p>
      <w:pPr>
        <w:pStyle w:val="FirstParagraph"/>
      </w:pPr>
      <w:r>
        <w:t xml:space="preserve">With a 40% recyclability rate, 60% of the product mass (0.09 kg) is assumed to go to landfill/incineration. The presence of a limited take-back program (hnznfqzejo) offers some mitigation but needs expansion to significantly reduce this impact.</w:t>
      </w:r>
    </w:p>
    <w:p>
      <w:pPr>
        <w:numPr>
          <w:ilvl w:val="0"/>
          <w:numId w:val="1013"/>
        </w:numPr>
        <w:pStyle w:val="Compact"/>
      </w:pPr>
      <w:r>
        <w:t xml:space="preserve">Non-recycled mass: 0.15 kg * (1 - 0.40) = 0.09 kg</w:t>
      </w:r>
    </w:p>
    <w:p>
      <w:pPr>
        <w:numPr>
          <w:ilvl w:val="0"/>
          <w:numId w:val="1013"/>
        </w:numPr>
        <w:pStyle w:val="Compact"/>
      </w:pPr>
      <w:r>
        <w:t xml:space="preserve">Emissions: 0.09 kg * 0.5 kgCO₂e/kg = 0.045 kgCO₂e</w:t>
      </w:r>
    </w:p>
    <w:p>
      <w:pPr>
        <w:pStyle w:val="FirstParagraph"/>
      </w:pPr>
      <w:r>
        <w:rPr>
          <w:bCs/>
          <w:b/>
        </w:rPr>
        <w:t xml:space="preserve">Total Emissions: 0.045 kg CO₂e</w:t>
      </w:r>
    </w:p>
    <w:p>
      <w:r>
        <w:pict>
          <v:rect style="width:0;height:1.5pt" o:hralign="center" o:hrstd="t" o:hr="t"/>
        </w:pict>
      </w:r>
    </w:p>
    <w:bookmarkEnd w:id="43"/>
    <w:bookmarkEnd w:id="44"/>
    <w:bookmarkEnd w:id="45"/>
    <w:bookmarkStart w:id="46" w:name="key-insights-and-hotspots"/>
    <w:p>
      <w:pPr>
        <w:pStyle w:val="Heading2"/>
      </w:pPr>
      <w:r>
        <w:t xml:space="preserve">5. Key Insights and Hotspots</w:t>
      </w:r>
    </w:p>
    <w:p>
      <w:pPr>
        <w:numPr>
          <w:ilvl w:val="0"/>
          <w:numId w:val="1014"/>
        </w:numPr>
        <w:pStyle w:val="Compact"/>
      </w:pPr>
      <w:r>
        <w:t xml:space="preserve">The</w:t>
      </w:r>
      <w:r>
        <w:t xml:space="preserve"> </w:t>
      </w:r>
      <w:r>
        <w:rPr>
          <w:bCs/>
          <w:b/>
        </w:rPr>
        <w:t xml:space="preserve">Use Phase</w:t>
      </w:r>
      <w:r>
        <w:t xml:space="preserve"> </w:t>
      </w:r>
      <w:r>
        <w:t xml:space="preserve">is the dominant hotspot, contributing nearly two-thirds of the total PCF. This highlights the importance of improving product energy efficiency and encouraging the use of renewable energy sources by end-consumers.</w:t>
      </w:r>
    </w:p>
    <w:p>
      <w:pPr>
        <w:numPr>
          <w:ilvl w:val="0"/>
          <w:numId w:val="1014"/>
        </w:numPr>
        <w:pStyle w:val="Compact"/>
      </w:pPr>
      <w:r>
        <w:rPr>
          <w:bCs/>
          <w:b/>
        </w:rPr>
        <w:t xml:space="preserve">Material Acquisition &amp; Pre-processing</w:t>
      </w:r>
      <w:r>
        <w:t xml:space="preserve"> </w:t>
      </w:r>
      <w:r>
        <w:t xml:space="preserve">represents the second-largest hotspot, particularly driven by high-impact electronic components like the Microcontroller and Sensors. Opportunities lie in sustainable material sourcing, design for modularity, and extended product life.</w:t>
      </w:r>
    </w:p>
    <w:p>
      <w:pPr>
        <w:numPr>
          <w:ilvl w:val="0"/>
          <w:numId w:val="1014"/>
        </w:numPr>
        <w:pStyle w:val="Compact"/>
      </w:pPr>
      <w:r>
        <w:rPr>
          <w:bCs/>
          <w:b/>
        </w:rPr>
        <w:t xml:space="preserve">Manufacturing energy efficiency and renewable energy adoption</w:t>
      </w:r>
      <w:r>
        <w:t xml:space="preserve"> </w:t>
      </w:r>
      <w:r>
        <w:t xml:space="preserve">at fqosyhlkjf\'s production facilities are crucial for reducing Scope 2 emissions. The current 60% renewable energy usage is a positive step.</w:t>
      </w:r>
    </w:p>
    <w:p>
      <w:pPr>
        <w:numPr>
          <w:ilvl w:val="0"/>
          <w:numId w:val="1014"/>
        </w:numPr>
        <w:pStyle w:val="Compact"/>
      </w:pPr>
      <w:r>
        <w:rPr>
          <w:bCs/>
          <w:b/>
        </w:rPr>
        <w:t xml:space="preserve">Transportation</w:t>
      </w:r>
      <w:r>
        <w:t xml:space="preserve"> </w:t>
      </w:r>
      <w:r>
        <w:t xml:space="preserve">emissions are comparatively low but can be further optimized through efficient logistics and vehicle choice for the last mile.</w:t>
      </w:r>
    </w:p>
    <w:p>
      <w:pPr>
        <w:numPr>
          <w:ilvl w:val="0"/>
          <w:numId w:val="1014"/>
        </w:numPr>
        <w:pStyle w:val="Compact"/>
      </w:pPr>
      <w:r>
        <w:t xml:space="preserve">The</w:t>
      </w:r>
      <w:r>
        <w:t xml:space="preserve"> </w:t>
      </w:r>
      <w:r>
        <w:rPr>
          <w:bCs/>
          <w:b/>
        </w:rPr>
        <w:t xml:space="preserve">End-of-Life</w:t>
      </w:r>
      <w:r>
        <w:t xml:space="preserve"> </w:t>
      </w:r>
      <w:r>
        <w:t xml:space="preserve">stage presents an opportunity to reduce emissions by increasing recyclability and expanding take-back programs to capture more materials.</w:t>
      </w:r>
    </w:p>
    <w:p>
      <w:r>
        <w:pict>
          <v:rect style="width:0;height:1.5pt" o:hralign="center" o:hrstd="t" o:hr="t"/>
        </w:pict>
      </w:r>
    </w:p>
    <w:bookmarkEnd w:id="46"/>
    <w:bookmarkStart w:id="47" w:name="recommendations-for-emission-reduction"/>
    <w:p>
      <w:pPr>
        <w:pStyle w:val="Heading2"/>
      </w:pPr>
      <w:r>
        <w:t xml:space="preserve">6. Recommendations for Emission Reduction</w:t>
      </w:r>
    </w:p>
    <w:p>
      <w:pPr>
        <w:numPr>
          <w:ilvl w:val="0"/>
          <w:numId w:val="1015"/>
        </w:numPr>
        <w:pStyle w:val="Compact"/>
      </w:pPr>
      <w:r>
        <w:rPr>
          <w:bCs/>
          <w:b/>
        </w:rPr>
        <w:t xml:space="preserve">Enhance Use Phase Efficiency:</w:t>
      </w:r>
      <w:r>
        <w:t xml:space="preserve"> </w:t>
      </w:r>
      <w:r>
        <w:t xml:space="preserve">Invest in R&amp;D to further reduce the energy consumption of the Smart Home Sensor during its operational life. Explore low-power modes and smart energy management features.</w:t>
      </w:r>
    </w:p>
    <w:p>
      <w:pPr>
        <w:numPr>
          <w:ilvl w:val="0"/>
          <w:numId w:val="1015"/>
        </w:numPr>
        <w:pStyle w:val="Compact"/>
      </w:pPr>
      <w:r>
        <w:rPr>
          <w:bCs/>
          <w:b/>
        </w:rPr>
        <w:t xml:space="preserve">Sustainable Material Sourcing:</w:t>
      </w:r>
      <w:r>
        <w:t xml:space="preserve"> </w:t>
      </w:r>
      <w:r>
        <w:t xml:space="preserve">Investigate alternative materials for high-impact components, focusing on lower embodied carbon. Engage with suppliers to promote greener manufacturing processes for parts like semiconductors and batteries.</w:t>
      </w:r>
    </w:p>
    <w:p>
      <w:pPr>
        <w:numPr>
          <w:ilvl w:val="0"/>
          <w:numId w:val="1015"/>
        </w:numPr>
        <w:pStyle w:val="Compact"/>
      </w:pPr>
      <w:r>
        <w:rPr>
          <w:bCs/>
          <w:b/>
        </w:rPr>
        <w:t xml:space="preserve">Circular Economy Integration:</w:t>
      </w:r>
      <w:r>
        <w:t xml:space="preserve"> </w:t>
      </w:r>
      <w:r>
        <w:t xml:space="preserve">Expand and promote the manufacturer\'s take-back program (hnznfqzejo) to increase the actual recyclability percentage beyond 40%. Explore design-for-disassembly and material recovery strategies.</w:t>
      </w:r>
    </w:p>
    <w:p>
      <w:pPr>
        <w:numPr>
          <w:ilvl w:val="0"/>
          <w:numId w:val="1015"/>
        </w:numPr>
        <w:pStyle w:val="Compact"/>
      </w:pPr>
      <w:r>
        <w:rPr>
          <w:bCs/>
          <w:b/>
        </w:rPr>
        <w:t xml:space="preserve">Renewable Energy Transition:</w:t>
      </w:r>
      <w:r>
        <w:t xml:space="preserve"> </w:t>
      </w:r>
      <w:r>
        <w:t xml:space="preserve">Continue increasing the percentage of renewable energy used in manufacturing operations (mmhzqdhgog). Explore options for carbon-neutral electricity procurement.</w:t>
      </w:r>
    </w:p>
    <w:p>
      <w:pPr>
        <w:numPr>
          <w:ilvl w:val="0"/>
          <w:numId w:val="1015"/>
        </w:numPr>
        <w:pStyle w:val="Compact"/>
      </w:pPr>
      <w:r>
        <w:rPr>
          <w:bCs/>
          <w:b/>
        </w:rPr>
        <w:t xml:space="preserve">Logistics Optimization:</w:t>
      </w:r>
      <w:r>
        <w:t xml:space="preserve"> </w:t>
      </w:r>
      <w:r>
        <w:t xml:space="preserve">Continuously optimize transport routes and consider alternative, lower-emission freight options for both upstream and downstream logistics.</w:t>
      </w:r>
    </w:p>
    <w:p>
      <w:r>
        <w:pict>
          <v:rect style="width:0;height:1.5pt" o:hralign="center" o:hrstd="t" o:hr="t"/>
        </w:pict>
      </w:r>
    </w:p>
    <w:bookmarkEnd w:id="47"/>
    <w:bookmarkStart w:id="48" w:name="conclusion"/>
    <w:p>
      <w:pPr>
        <w:pStyle w:val="Heading2"/>
      </w:pPr>
      <w:r>
        <w:t xml:space="preserve">7. Conclusion</w:t>
      </w:r>
    </w:p>
    <w:p>
      <w:pPr>
        <w:pStyle w:val="FirstParagraph"/>
      </w:pPr>
      <w:r>
        <w:t xml:space="preserve">This detailed PCF analysis for the Smart Home Sensor (iroirtizjh) provides fqosyhlkjf with a clear understanding of its product\'s environmental footprint. By focusing on the identified hotspots in the use phase and material acquisition, coupled with continuous improvements in manufacturing and end-of-life management, fqosyhlkjf can significantly reduce the Smart Home Sensor\'s carbon impact and reinforce its commitment to sustainability, aligning with the robust requirements of the GHG Protocol.</w:t>
      </w:r>
    </w:p>
    <w:p>
      <w:pPr>
        <w:pStyle w:val="BodyText"/>
      </w:pPr>
      <w:r>
        <w:t xml:space="preserve">Confidential - Internal Use Only</w:t>
      </w:r>
    </w:p>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Sensor (iroirtizjh)</dc:title>
  <dc:creator/>
  <dc:description>High-detail Product Carbon Footprint (PCF) analysis for fqosyhlkjf\'s Smart Home Sensor (iroirtizjh), adhering to GHG Protocol standards and 2026 LSR update.</dc:description>
  <dc:language>en</dc:language>
  <cp:keywords/>
  <dcterms:created xsi:type="dcterms:W3CDTF">2026-07-15T07:08:09Z</dcterms:created>
  <dcterms:modified xsi:type="dcterms:W3CDTF">2026-07-15T07:08:09Z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