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Home</w:t>
      </w:r>
      <w:r>
        <w:t xml:space="preserve"> </w:t>
      </w:r>
      <w:r>
        <w:t xml:space="preserve">Sensor</w:t>
      </w:r>
      <w:r>
        <w:t xml:space="preserve"> </w:t>
      </w:r>
      <w:r>
        <w:t xml:space="preserve">Hub</w:t>
      </w:r>
      <w:r>
        <w:t xml:space="preserve"> </w:t>
      </w:r>
      <w:r>
        <w:t xml:space="preserve">(rwwnzrvfww)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rwwnzrvfww (Smart Home Sensor Hub)</w:t>
      </w:r>
    </w:p>
    <w:p>
      <w:pPr>
        <w:pStyle w:val="BodyText"/>
      </w:pPr>
      <w:r>
        <w:rPr>
          <w:bCs/>
          <w:b/>
        </w:rPr>
        <w:t xml:space="preserve">Company Name:</w:t>
      </w:r>
      <w:r>
        <w:t xml:space="preserve"> </w:t>
      </w:r>
      <w:r>
        <w:t xml:space="preserve">dewihpzhvq</w:t>
      </w:r>
    </w:p>
    <w:p>
      <w:pPr>
        <w:pStyle w:val="BodyText"/>
      </w:pPr>
      <w:r>
        <w:rPr>
          <w:bCs/>
          <w:b/>
        </w:rPr>
        <w:t xml:space="preserve">Senior Sustainability Consultant:</w:t>
      </w:r>
      <w:r>
        <w:t xml:space="preserve"> </w:t>
      </w:r>
      <w:r>
        <w:t xml:space="preserve">synwhskjkl</w:t>
      </w:r>
    </w:p>
    <w:p>
      <w:pPr>
        <w:pStyle w:val="BodyText"/>
      </w:pPr>
      <w:r>
        <w:rPr>
          <w:bCs/>
          <w:b/>
        </w:rPr>
        <w:t xml:space="preserve">Accounting Standard:</w:t>
      </w:r>
      <w:r>
        <w:t xml:space="preserve"> </w:t>
      </w:r>
      <w:r>
        <w:t xml:space="preserve">GHG Protocol</w:t>
      </w:r>
    </w:p>
    <w:p>
      <w:pPr>
        <w:pStyle w:val="BodyText"/>
      </w:pPr>
      <w:r>
        <w:rPr>
          <w:bCs/>
          <w:b/>
        </w:rPr>
        <w:t xml:space="preserve">Generated Date:</w:t>
      </w:r>
      <w:r>
        <w:t xml:space="preserve"> </w:t>
      </w:r>
      <w:r>
        <w:t xml:space="preserve">May 29, 2026</w:t>
      </w:r>
    </w:p>
    <w:p>
      <w:pPr>
        <w:pStyle w:val="BodyText"/>
      </w:pPr>
      <w:r>
        <w:t xml:space="preserve">This report is generated based on available data and industry standards, providing a high-detail Product Carbon Footprint (PCF) analysis according to the specified parameters and methodologies.</w:t>
      </w:r>
    </w:p>
    <w:bookmarkEnd w:id="20"/>
    <w:bookmarkStart w:id="43" w:name="X33844e45a69f83eb6b3e0b62b7dc41a33b9f42f"/>
    <w:p>
      <w:pPr>
        <w:pStyle w:val="Heading1"/>
      </w:pPr>
      <w:r>
        <w:t xml:space="preserve">Product Carbon Footprint Analysis Report: rwwnzrvfww</w:t>
      </w:r>
    </w:p>
    <w:p>
      <w:pPr>
        <w:pStyle w:val="FirstParagraph"/>
      </w:pPr>
      <w:r>
        <w:rPr>
          <w:bCs/>
          <w:b/>
        </w:rPr>
        <w:t xml:space="preserve">Generated Date:</w:t>
      </w:r>
      <w:r>
        <w:t xml:space="preserve"> </w:t>
      </w:r>
      <w:r>
        <w:t xml:space="preserve">May 29,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rwwnzrvfww, identified as a Smart Home Sensor Hub, manufactured by dewihpzhvq. The analysis was conducted by synwhskjkl, Senior Sustainability Consultant, adhering strictly to the GHG Protocol accounting standard and incorporating the latest 2026 updates, including the Land Sector and Removals (LSR) Standard and stringent Scope 3 coverage requirements. The total cradle-to-gate (plus use phase and end-of-life) carbon footprint for one functional unit of rwwnzrvfww is calculated to be</w:t>
      </w:r>
      <w:r>
        <w:t xml:space="preserve"> </w:t>
      </w:r>
      <w:r>
        <w:rPr>
          <w:bCs/>
          <w:b/>
        </w:rPr>
        <w:t xml:space="preserve">5.22 kg CO2e</w:t>
      </w:r>
      <w:r>
        <w:t xml:space="preserve">. The use phase of the product represents the most significant hotspot, highlighting opportunities for further decarbonization through energy efficiency and renewable energy integration.</w:t>
      </w:r>
    </w:p>
    <w:p>
      <w:r>
        <w:pict>
          <v:rect style="width:0;height:1.5pt" o:hralign="center" o:hrstd="t" o:hr="t"/>
        </w:pict>
      </w:r>
    </w:p>
    <w:bookmarkEnd w:id="21"/>
    <w:bookmarkStart w:id="23" w:name="introduction"/>
    <w:p>
      <w:pPr>
        <w:pStyle w:val="Heading2"/>
      </w:pPr>
      <w:r>
        <w:t xml:space="preserve">1. Introduction</w:t>
      </w:r>
    </w:p>
    <w:p>
      <w:pPr>
        <w:pStyle w:val="FirstParagraph"/>
      </w:pPr>
      <w:r>
        <w:t xml:space="preserve">This document details the Product Carbon Footprint (PCF) for the product identified as rwwnzrvfww (Smart Home Sensor Hub), on behalf of the company dewihpzhvq. The assessment has been meticulously performed by synwhskjkl, Senior Sustainability Consultant, in strict compliance with the Greenhouse Gas (GHG) Protocol. The aim is to quantify the greenhouse gas emissions associated with the product\'s entire lifecycle, from raw material acquisition through manufacturing, transport, use, and end-of-life, providing a robust foundation for identifying environmental hotspots and informing strategic sustainability initiatives.</w:t>
      </w:r>
    </w:p>
    <w:bookmarkStart w:id="22" w:name="product-details"/>
    <w:p>
      <w:pPr>
        <w:pStyle w:val="Heading3"/>
      </w:pPr>
      <w:r>
        <w:t xml:space="preserve">1.1 Product Details</w:t>
      </w:r>
    </w:p>
    <w:p>
      <w:pPr>
        <w:numPr>
          <w:ilvl w:val="0"/>
          <w:numId w:val="1001"/>
        </w:numPr>
        <w:pStyle w:val="Compact"/>
      </w:pPr>
      <w:r>
        <w:rPr>
          <w:bCs/>
          <w:b/>
        </w:rPr>
        <w:t xml:space="preserve">Product Name:</w:t>
      </w:r>
      <w:r>
        <w:t xml:space="preserve"> </w:t>
      </w:r>
      <w:r>
        <w:t xml:space="preserve">rwwnzrvfww (Smart Home Sensor Hub - *Assumed for illustrative purposes*)</w:t>
      </w:r>
    </w:p>
    <w:p>
      <w:pPr>
        <w:numPr>
          <w:ilvl w:val="0"/>
          <w:numId w:val="1001"/>
        </w:numPr>
        <w:pStyle w:val="Compact"/>
      </w:pPr>
      <w:r>
        <w:rPr>
          <w:bCs/>
          <w:b/>
        </w:rPr>
        <w:t xml:space="preserve">Company Name:</w:t>
      </w:r>
      <w:r>
        <w:t xml:space="preserve"> </w:t>
      </w:r>
      <w:r>
        <w:t xml:space="preserve">dewihpzhvq</w:t>
      </w:r>
    </w:p>
    <w:p>
      <w:pPr>
        <w:numPr>
          <w:ilvl w:val="0"/>
          <w:numId w:val="1001"/>
        </w:numPr>
        <w:pStyle w:val="Compact"/>
      </w:pPr>
      <w:r>
        <w:rPr>
          <w:bCs/>
          <w:b/>
        </w:rPr>
        <w:t xml:space="preserve">Senior Sustainability Consultant:</w:t>
      </w:r>
      <w:r>
        <w:t xml:space="preserve"> </w:t>
      </w:r>
      <w:r>
        <w:t xml:space="preserve">synwhskjkl</w:t>
      </w:r>
    </w:p>
    <w:p>
      <w:pPr>
        <w:numPr>
          <w:ilvl w:val="0"/>
          <w:numId w:val="1001"/>
        </w:numPr>
        <w:pStyle w:val="Compact"/>
      </w:pPr>
      <w:r>
        <w:rPr>
          <w:bCs/>
          <w:b/>
        </w:rPr>
        <w:t xml:space="preserve">Functional Unit:</w:t>
      </w:r>
      <w:r>
        <w:t xml:space="preserve"> </w:t>
      </w:r>
      <w:r>
        <w:t xml:space="preserve">1.0 unit</w:t>
      </w:r>
    </w:p>
    <w:p>
      <w:pPr>
        <w:numPr>
          <w:ilvl w:val="0"/>
          <w:numId w:val="1001"/>
        </w:numPr>
        <w:pStyle w:val="Compact"/>
      </w:pPr>
      <w:r>
        <w:rPr>
          <w:bCs/>
          <w:b/>
        </w:rPr>
        <w:t xml:space="preserve">Accounting Standard:</w:t>
      </w:r>
      <w:r>
        <w:t xml:space="preserve"> </w:t>
      </w:r>
      <w:r>
        <w:t xml:space="preserve">GHG Protocol</w:t>
      </w:r>
    </w:p>
    <w:p>
      <w:pPr>
        <w:numPr>
          <w:ilvl w:val="0"/>
          <w:numId w:val="1001"/>
        </w:numPr>
        <w:pStyle w:val="Compact"/>
      </w:pPr>
      <w:r>
        <w:rPr>
          <w:bCs/>
          <w:b/>
        </w:rPr>
        <w:t xml:space="preserve">Geographic Scope:</w:t>
      </w:r>
      <w:r>
        <w:t xml:space="preserve"> </w:t>
      </w:r>
      <w:r>
        <w:t xml:space="preserve">Final Production Country: China, Supply Chain Focus: Europe Focused</w:t>
      </w:r>
    </w:p>
    <w:p>
      <w:r>
        <w:pict>
          <v:rect style="width:0;height:1.5pt" o:hralign="center" o:hrstd="t" o:hr="t"/>
        </w:pict>
      </w:r>
    </w:p>
    <w:bookmarkEnd w:id="22"/>
    <w:bookmarkEnd w:id="23"/>
    <w:bookmarkStart w:id="29" w:name="methodology-overview"/>
    <w:p>
      <w:pPr>
        <w:pStyle w:val="Heading2"/>
      </w:pPr>
      <w:r>
        <w:t xml:space="preserve">2. Methodology Overview</w:t>
      </w:r>
    </w:p>
    <w:p>
      <w:pPr>
        <w:pStyle w:val="FirstParagraph"/>
      </w:pPr>
      <w:r>
        <w:t xml:space="preserve">The PCF analysis followed the five-step methodology prescribed by the GHG Protocol, enhanced with 2026 updates for land sector impacts and comprehensive Scope 3 reporting.</w:t>
      </w:r>
    </w:p>
    <w:bookmarkStart w:id="24" w:name="define-scope"/>
    <w:p>
      <w:pPr>
        <w:pStyle w:val="Heading3"/>
      </w:pPr>
      <w:r>
        <w:t xml:space="preserve">2.1 Define Scope</w:t>
      </w:r>
    </w:p>
    <w:p>
      <w:pPr>
        <w:pStyle w:val="FirstParagraph"/>
      </w:pPr>
      <w:r>
        <w:t xml:space="preserve">This initial step established the boundaries and parameters of the study:</w:t>
      </w:r>
    </w:p>
    <w:p>
      <w:pPr>
        <w:numPr>
          <w:ilvl w:val="0"/>
          <w:numId w:val="1002"/>
        </w:numPr>
        <w:pStyle w:val="Compact"/>
      </w:pPr>
      <w:r>
        <w:rPr>
          <w:bCs/>
          <w:b/>
        </w:rPr>
        <w:t xml:space="preserve">Functional Unit:</w:t>
      </w:r>
      <w:r>
        <w:t xml:space="preserve"> </w:t>
      </w:r>
      <w:r>
        <w:t xml:space="preserve">The reference unit for quantification is 1.0 unit of rwwnzrvfww (Smart Home Sensor Hub).</w:t>
      </w:r>
    </w:p>
    <w:p>
      <w:pPr>
        <w:numPr>
          <w:ilvl w:val="0"/>
          <w:numId w:val="1002"/>
        </w:numPr>
        <w:pStyle w:val="Compact"/>
      </w:pPr>
      <w:r>
        <w:rPr>
          <w:bCs/>
          <w:b/>
        </w:rPr>
        <w:t xml:space="preserve">System Boundary:</w:t>
      </w:r>
      <w:r>
        <w:t xml:space="preserve"> </w:t>
      </w:r>
      <w:r>
        <w:t xml:space="preserve">The analysis adopts a "factory_gate" system boundary for direct operational control, but extends to include significant upstream (raw materials, inbound logistics) and downstream (use phase, end-of-life) emissions as per the provided parameters. This encompasses a comprehensive cradle-to-grave perspective for the product.</w:t>
      </w:r>
    </w:p>
    <w:p>
      <w:pPr>
        <w:numPr>
          <w:ilvl w:val="0"/>
          <w:numId w:val="1002"/>
        </w:numPr>
        <w:pStyle w:val="Compact"/>
      </w:pPr>
      <w:r>
        <w:rPr>
          <w:bCs/>
          <w:b/>
        </w:rPr>
        <w:t xml:space="preserve">Geographic Scope:</w:t>
      </w:r>
      <w:r>
        <w:t xml:space="preserve"> </w:t>
      </w:r>
      <w:r>
        <w:t xml:space="preserve">The final production occurs in China, with a supply chain focus on Europe for upstream components and downstream consumption.</w:t>
      </w:r>
    </w:p>
    <w:p>
      <w:pPr>
        <w:numPr>
          <w:ilvl w:val="0"/>
          <w:numId w:val="1002"/>
        </w:numPr>
        <w:pStyle w:val="Compact"/>
      </w:pPr>
      <w:r>
        <w:rPr>
          <w:bCs/>
          <w:b/>
        </w:rPr>
        <w:t xml:space="preserve">Allocation:</w:t>
      </w:r>
      <w:r>
        <w:t xml:space="preserve"> </w:t>
      </w:r>
      <w:r>
        <w:t xml:space="preserve">Emissions are allocated directly to the functional unit. Co-product and recycling allocations follow GHG Protocol recommendations, applying a 50% closed-loop recycling credit where applicable for end-of-life scenarios.</w:t>
      </w:r>
    </w:p>
    <w:bookmarkEnd w:id="24"/>
    <w:bookmarkStart w:id="25" w:name="map-lifecycle-lci-inventory-stages"/>
    <w:p>
      <w:pPr>
        <w:pStyle w:val="Heading3"/>
      </w:pPr>
      <w:r>
        <w:t xml:space="preserve">2.2 Map Lifecycle (LCI Inventory Stages)</w:t>
      </w:r>
    </w:p>
    <w:p>
      <w:pPr>
        <w:pStyle w:val="FirstParagraph"/>
      </w:pPr>
      <w:r>
        <w:t xml:space="preserve">The lifecycle of rwwnzrvfww was mapped into distinct stages to ensure comprehensive data collection and emission accounting:</w:t>
      </w:r>
    </w:p>
    <w:p>
      <w:pPr>
        <w:numPr>
          <w:ilvl w:val="0"/>
          <w:numId w:val="1003"/>
        </w:numPr>
        <w:pStyle w:val="Compact"/>
      </w:pPr>
      <w:r>
        <w:rPr>
          <w:bCs/>
          <w:b/>
        </w:rPr>
        <w:t xml:space="preserve">Material Acquisition &amp; Pre-processing:</w:t>
      </w:r>
      <w:r>
        <w:t xml:space="preserve"> </w:t>
      </w:r>
      <w:r>
        <w:t xml:space="preserve">Extraction, processing, and manufacturing of raw materials specified in the Bill of Materials (BOM).</w:t>
      </w:r>
    </w:p>
    <w:p>
      <w:pPr>
        <w:numPr>
          <w:ilvl w:val="0"/>
          <w:numId w:val="1003"/>
        </w:numPr>
        <w:pStyle w:val="Compact"/>
      </w:pPr>
      <w:r>
        <w:rPr>
          <w:bCs/>
          <w:b/>
        </w:rPr>
        <w:t xml:space="preserve">Manufacturing:</w:t>
      </w:r>
      <w:r>
        <w:t xml:space="preserve"> </w:t>
      </w:r>
      <w:r>
        <w:t xml:space="preserve">Production processes at dewihpzhvq\'s facility in China, including energy consumption.</w:t>
      </w:r>
    </w:p>
    <w:p>
      <w:pPr>
        <w:numPr>
          <w:ilvl w:val="0"/>
          <w:numId w:val="1003"/>
        </w:numPr>
        <w:pStyle w:val="Compact"/>
      </w:pPr>
      <w:r>
        <w:rPr>
          <w:bCs/>
          <w:b/>
        </w:rPr>
        <w:t xml:space="preserve">Transport &amp; Distribution:</w:t>
      </w:r>
      <w:r>
        <w:t xml:space="preserve"> </w:t>
      </w:r>
      <w:r>
        <w:t xml:space="preserve">Inbound logistics of materials to the factory, and outbound logistics of the finished product to the market, including last-mile delivery.</w:t>
      </w:r>
    </w:p>
    <w:p>
      <w:pPr>
        <w:numPr>
          <w:ilvl w:val="0"/>
          <w:numId w:val="1003"/>
        </w:numPr>
        <w:pStyle w:val="Compact"/>
      </w:pPr>
      <w:r>
        <w:rPr>
          <w:bCs/>
          <w:b/>
        </w:rPr>
        <w:t xml:space="preserve">Use Phase:</w:t>
      </w:r>
      <w:r>
        <w:t xml:space="preserve"> </w:t>
      </w:r>
      <w:r>
        <w:t xml:space="preserve">Energy consumption during the product\'s lifespan by the end-user.</w:t>
      </w:r>
    </w:p>
    <w:p>
      <w:pPr>
        <w:numPr>
          <w:ilvl w:val="0"/>
          <w:numId w:val="1003"/>
        </w:numPr>
        <w:pStyle w:val="Compact"/>
      </w:pPr>
      <w:r>
        <w:rPr>
          <w:bCs/>
          <w:b/>
        </w:rPr>
        <w:t xml:space="preserve">End-of-Life (EoL):</w:t>
      </w:r>
      <w:r>
        <w:t xml:space="preserve"> </w:t>
      </w:r>
      <w:r>
        <w:t xml:space="preserve">Collection, recycling, and disposal of the product at the end of its useful life.</w:t>
      </w:r>
    </w:p>
    <w:bookmarkEnd w:id="25"/>
    <w:bookmarkStart w:id="26" w:name="Xb57f50a89bf1f3f1837369be949d9d60d6c1272"/>
    <w:p>
      <w:pPr>
        <w:pStyle w:val="Heading3"/>
      </w:pPr>
      <w:r>
        <w:t xml:space="preserve">2.3 Collect Data (Primary/Secondary Data Points)</w:t>
      </w:r>
    </w:p>
    <w:p>
      <w:pPr>
        <w:pStyle w:val="FirstParagraph"/>
      </w:pPr>
      <w:r>
        <w:t xml:space="preserve">Data collection prioritized primary activity data where available and supplemented with high-quality secondary data:</w:t>
      </w:r>
    </w:p>
    <w:p>
      <w:pPr>
        <w:numPr>
          <w:ilvl w:val="0"/>
          <w:numId w:val="1004"/>
        </w:numPr>
        <w:pStyle w:val="Compact"/>
      </w:pPr>
      <w:r>
        <w:rPr>
          <w:bCs/>
          <w:b/>
        </w:rPr>
        <w:t xml:space="preserve">Detailed Bill of Materials (BOM) (ssympvhf):</w:t>
      </w:r>
      <w:r>
        <w:t xml:space="preserve"> </w:t>
      </w:r>
      <w:r>
        <w:t xml:space="preserve">Provided for high-accuracy material impact calculation. This includes specific IDs, descriptions, categories, processes, quantities, units, emission factors, and total carbon values for each material.</w:t>
      </w:r>
    </w:p>
    <w:p>
      <w:pPr>
        <w:numPr>
          <w:ilvl w:val="0"/>
          <w:numId w:val="1004"/>
        </w:numPr>
        <w:pStyle w:val="Compact"/>
      </w:pPr>
      <w:r>
        <w:rPr>
          <w:bCs/>
          <w:b/>
        </w:rPr>
        <w:t xml:space="preserve">Transport Logistics:</w:t>
      </w:r>
      <w:r>
        <w:t xml:space="preserve"> </w:t>
      </w:r>
      <w:r>
        <w:t xml:space="preserve">Specific parameters including Transport Mode (`Select Mode`), Transport Distance (`jlzwghwidl`), and Last-Mile Delivery Channel (`Delivery Type`) were incorporated.</w:t>
      </w:r>
    </w:p>
    <w:p>
      <w:pPr>
        <w:numPr>
          <w:ilvl w:val="0"/>
          <w:numId w:val="1004"/>
        </w:numPr>
        <w:pStyle w:val="Compact"/>
      </w:pPr>
      <w:r>
        <w:rPr>
          <w:bCs/>
          <w:b/>
        </w:rPr>
        <w:t xml:space="preserve">Production Energy:</w:t>
      </w:r>
      <w:r>
        <w:t xml:space="preserve"> </w:t>
      </w:r>
      <w:r>
        <w:t xml:space="preserve">Customization data on Renewable Energy Usage (`quttxvfsfo`) and Energy Intensity (`ygmjjnfmxj`) for the production phase.</w:t>
      </w:r>
    </w:p>
    <w:p>
      <w:pPr>
        <w:numPr>
          <w:ilvl w:val="0"/>
          <w:numId w:val="1004"/>
        </w:numPr>
        <w:pStyle w:val="Compact"/>
      </w:pPr>
      <w:r>
        <w:rPr>
          <w:bCs/>
          <w:b/>
        </w:rPr>
        <w:t xml:space="preserve">Use Phase:</w:t>
      </w:r>
      <w:r>
        <w:t xml:space="preserve"> </w:t>
      </w:r>
      <w:r>
        <w:t xml:space="preserve">Specific data on Product Lifespan (`ieuqfmnnhg`) and Energy Consumption in Use (`nzjnxqdift`).</w:t>
      </w:r>
    </w:p>
    <w:p>
      <w:pPr>
        <w:numPr>
          <w:ilvl w:val="0"/>
          <w:numId w:val="1004"/>
        </w:numPr>
        <w:pStyle w:val="Compact"/>
      </w:pPr>
      <w:r>
        <w:rPr>
          <w:bCs/>
          <w:b/>
        </w:rPr>
        <w:t xml:space="preserve">End-of-Life Scenarios:</w:t>
      </w:r>
      <w:r>
        <w:t xml:space="preserve"> </w:t>
      </w:r>
      <w:r>
        <w:t xml:space="preserve">Data on Recyclability Percentage (`zoxqywdwrd`) and Circular/Take-back Programs (`pvqynnszez`).</w:t>
      </w:r>
    </w:p>
    <w:p>
      <w:pPr>
        <w:numPr>
          <w:ilvl w:val="0"/>
          <w:numId w:val="1004"/>
        </w:numPr>
        <w:pStyle w:val="Compact"/>
      </w:pPr>
      <w:r>
        <w:rPr>
          <w:bCs/>
          <w:b/>
        </w:rPr>
        <w:t xml:space="preserve">Emission Factors:</w:t>
      </w:r>
      <w:r>
        <w:t xml:space="preserve"> </w:t>
      </w:r>
      <w:r>
        <w:t xml:space="preserve">Industry-standard emission factors were utilized, sourced from reputable databases (e.g., IEA, DEFRA, Climatiq) for electricity grids and transport modes.</w:t>
      </w:r>
    </w:p>
    <w:bookmarkEnd w:id="26"/>
    <w:bookmarkStart w:id="27" w:name="Xb404f6bea4a0013006ec7a9103609d9ea6643c1"/>
    <w:p>
      <w:pPr>
        <w:pStyle w:val="Heading3"/>
      </w:pPr>
      <w:r>
        <w:t xml:space="preserve">2.4 Calculate Emissions (Activity * Emission Factor = CO2e)</w:t>
      </w:r>
    </w:p>
    <w:p>
      <w:pPr>
        <w:pStyle w:val="FirstParagraph"/>
      </w:pPr>
      <w:r>
        <w:t xml:space="preserve">Emissions were calculated for each lifecycle stage and categorized according to the GHG Protocol:</w:t>
      </w:r>
    </w:p>
    <w:p>
      <w:pPr>
        <w:numPr>
          <w:ilvl w:val="0"/>
          <w:numId w:val="1005"/>
        </w:numPr>
        <w:pStyle w:val="Compact"/>
      </w:pPr>
      <w:r>
        <w:rPr>
          <w:bCs/>
          <w:b/>
        </w:rPr>
        <w:t xml:space="preserve">GHG Protocol Adherence:</w:t>
      </w:r>
      <w:r>
        <w:t xml:space="preserve"> </w:t>
      </w:r>
      <w:r>
        <w:t xml:space="preserve">Emissions are categorized into Scope 1 (direct emissions), Scope 2 (indirect emissions from purchased energy), and Scope 3 (all other indirect emissions across the value chain).</w:t>
      </w:r>
    </w:p>
    <w:p>
      <w:pPr>
        <w:numPr>
          <w:ilvl w:val="0"/>
          <w:numId w:val="1005"/>
        </w:numPr>
        <w:pStyle w:val="Compact"/>
      </w:pPr>
      <w:r>
        <w:rPr>
          <w:bCs/>
          <w:b/>
        </w:rPr>
        <w:t xml:space="preserve">2026 LSR Update:</w:t>
      </w:r>
      <w:r>
        <w:t xml:space="preserve"> </w:t>
      </w:r>
      <w:r>
        <w:t xml:space="preserve">The Land Sector and Removals (LSR) Standard, effective January 1, 2027, was conceptually applied. While specific land use data was not provided, the analysis acknowledges the importance of accounting for land use change and carbon removals as per this standard\'s requirements for companies with significant land sector activities in their value chain.</w:t>
      </w:r>
    </w:p>
    <w:p>
      <w:pPr>
        <w:numPr>
          <w:ilvl w:val="0"/>
          <w:numId w:val="1005"/>
        </w:numPr>
        <w:pStyle w:val="Compact"/>
      </w:pPr>
      <w:r>
        <w:rPr>
          <w:bCs/>
          <w:b/>
        </w:rPr>
        <w:t xml:space="preserve">Scope 3 Compliance:</w:t>
      </w:r>
      <w:r>
        <w:t xml:space="preserve"> </w:t>
      </w:r>
      <w:r>
        <w:t xml:space="preserve">In line with the proposed 2026 requirements, this report aims for at least 95% coverage for Scope 3 reporting. Exclusions are minimized, and data quality is transparently addressed.</w:t>
      </w:r>
    </w:p>
    <w:bookmarkEnd w:id="27"/>
    <w:bookmarkStart w:id="28" w:name="review-report"/>
    <w:p>
      <w:pPr>
        <w:pStyle w:val="Heading3"/>
      </w:pPr>
      <w:r>
        <w:t xml:space="preserve">2.5 Review &amp; Report</w:t>
      </w:r>
    </w:p>
    <w:p>
      <w:pPr>
        <w:pStyle w:val="FirstParagraph"/>
      </w:pPr>
      <w:r>
        <w:t xml:space="preserve">The final step involved reviewing the results, identifying key hotspots, and reporting the findings with transparency regarding data sources and reliability.</w:t>
      </w:r>
    </w:p>
    <w:p>
      <w:r>
        <w:pict>
          <v:rect style="width:0;height:1.5pt" o:hralign="center" o:hrstd="t" o:hr="t"/>
        </w:pict>
      </w:r>
    </w:p>
    <w:bookmarkEnd w:id="28"/>
    <w:bookmarkEnd w:id="29"/>
    <w:bookmarkStart w:id="37" w:name="X629aa1c44ca3ae5975844b97b2aaec049d0bd6c"/>
    <w:p>
      <w:pPr>
        <w:pStyle w:val="Heading2"/>
      </w:pPr>
      <w:r>
        <w:t xml:space="preserve">3. Product Carbon Footprint Analysis - Detailed Breakdown</w:t>
      </w:r>
    </w:p>
    <w:bookmarkStart w:id="31" w:name="Xe98c1f4ecdaed490707009e0c9dce9465a46849"/>
    <w:p>
      <w:pPr>
        <w:pStyle w:val="Heading3"/>
      </w:pPr>
      <w:r>
        <w:t xml:space="preserve">3.1 Material Impact (Scope 3 - Category 1: Purchased Goods and Services)</w:t>
      </w:r>
    </w:p>
    <w:p>
      <w:pPr>
        <w:pStyle w:val="FirstParagraph"/>
      </w:pPr>
      <w:r>
        <w:t xml:space="preserve">The Detailed Bill of Materials (BOM) for rwwnzrvfww (</w:t>
      </w:r>
      <w:r>
        <w:rPr>
          <w:rStyle w:val="VerbatimChar"/>
        </w:rPr>
        <w:t xml:space="preserve">ssympvhf</w:t>
      </w:r>
      <w:r>
        <w:t xml:space="preserve">) provides specific emission factors for each component, leading to a precise calculation of material-related emissions. The total weight of the finished product is assumed to be 0.5 kg for transport calculations.</w:t>
      </w:r>
    </w:p>
    <w:bookmarkStart w:id="30" w:name="X707c6620fb2c8ada77ed9d3491a06520d081476"/>
    <w:p>
      <w:pPr>
        <w:pStyle w:val="Heading4"/>
      </w:pPr>
      <w:r>
        <w:t xml:space="preserve">Detailed Bill of Materials (BOM) - rwwnzrvfww</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 kg</w:t>
            </w:r>
          </w:p>
        </w:tc>
        <w:tc>
          <w:tcPr/>
          <w:p>
            <w:pPr>
              <w:pStyle w:val="Compact"/>
              <w:jc w:val="left"/>
            </w:pPr>
            <w:r>
              <w:t xml:space="preserve">2.5</w:t>
            </w:r>
          </w:p>
        </w:tc>
        <w:tc>
          <w:tcPr/>
          <w:p>
            <w:pPr>
              <w:pStyle w:val="Compact"/>
              <w:jc w:val="left"/>
            </w:pPr>
            <w:r>
              <w:t xml:space="preserve">0.50</w:t>
            </w:r>
          </w:p>
        </w:tc>
      </w:tr>
      <w:tr>
        <w:tc>
          <w:tcPr/>
          <w:p>
            <w:pPr>
              <w:pStyle w:val="Compact"/>
              <w:jc w:val="left"/>
            </w:pPr>
            <w:r>
              <w:t xml:space="preserve">M002</w:t>
            </w:r>
          </w:p>
        </w:tc>
        <w:tc>
          <w:tcPr/>
          <w:p>
            <w:pPr>
              <w:pStyle w:val="Compact"/>
              <w:jc w:val="left"/>
            </w:pPr>
            <w:r>
              <w:t xml:space="preserve">PCB with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 kg</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0.03 kg</w:t>
            </w:r>
          </w:p>
        </w:tc>
        <w:tc>
          <w:tcPr/>
          <w:p>
            <w:pPr>
              <w:pStyle w:val="Compact"/>
              <w:jc w:val="left"/>
            </w:pPr>
            <w:r>
              <w:t xml:space="preserve">15.0</w:t>
            </w:r>
          </w:p>
        </w:tc>
        <w:tc>
          <w:tcPr/>
          <w:p>
            <w:pPr>
              <w:pStyle w:val="Compact"/>
              <w:jc w:val="left"/>
            </w:pPr>
            <w:r>
              <w:t xml:space="preserve">0.45</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0.01 kg</w:t>
            </w:r>
          </w:p>
        </w:tc>
        <w:tc>
          <w:tcPr/>
          <w:p>
            <w:pPr>
              <w:pStyle w:val="Compact"/>
              <w:jc w:val="left"/>
            </w:pPr>
            <w:r>
              <w:t xml:space="preserve">4.0</w:t>
            </w:r>
          </w:p>
        </w:tc>
        <w:tc>
          <w:tcPr/>
          <w:p>
            <w:pPr>
              <w:pStyle w:val="Compact"/>
              <w:jc w:val="left"/>
            </w:pPr>
            <w:r>
              <w:t xml:space="preserve">0.04</w:t>
            </w:r>
          </w:p>
        </w:tc>
      </w:tr>
      <w:tr>
        <w:tc>
          <w:tcPr/>
          <w:p>
            <w:pPr>
              <w:pStyle w:val="Compact"/>
              <w:jc w:val="left"/>
            </w:pPr>
            <w:r>
              <w:t xml:space="preserve">M005</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Production</w:t>
            </w:r>
          </w:p>
        </w:tc>
        <w:tc>
          <w:tcPr/>
          <w:p>
            <w:pPr>
              <w:pStyle w:val="Compact"/>
              <w:jc w:val="left"/>
            </w:pPr>
            <w:r>
              <w:t xml:space="preserve">0.1 kg</w:t>
            </w:r>
          </w:p>
        </w:tc>
        <w:tc>
          <w:tcPr/>
          <w:p>
            <w:pPr>
              <w:pStyle w:val="Compact"/>
              <w:jc w:val="left"/>
            </w:pPr>
            <w:r>
              <w:t xml:space="preserve">1.0</w:t>
            </w:r>
          </w:p>
        </w:tc>
        <w:tc>
          <w:tcPr/>
          <w:p>
            <w:pPr>
              <w:pStyle w:val="Compact"/>
              <w:jc w:val="left"/>
            </w:pPr>
            <w:r>
              <w:t xml:space="preserve">0.10</w:t>
            </w:r>
          </w:p>
        </w:tc>
      </w:tr>
      <w:tr>
        <w:tc>
          <w:tcPr>
            <w:gridSpan w:val="6"/>
          </w:tcPr>
          <w:p>
            <w:pPr>
              <w:pStyle w:val="Compact"/>
              <w:jc w:val="right"/>
            </w:pPr>
            <w:r>
              <w:t xml:space="preserve">Total Material Impact:</w:t>
            </w:r>
          </w:p>
        </w:tc>
        <w:tc>
          <w:tcPr/>
          <w:p>
            <w:pPr>
              <w:pStyle w:val="Compact"/>
              <w:jc w:val="left"/>
            </w:pPr>
            <w:r>
              <w:t xml:space="preserve">2.09 kgCO2e</w:t>
            </w:r>
          </w:p>
        </w:tc>
      </w:tr>
    </w:tbl>
    <w:bookmarkEnd w:id="30"/>
    <w:bookmarkEnd w:id="31"/>
    <w:bookmarkStart w:id="32" w:name="production-phase-emissions-scope-2"/>
    <w:p>
      <w:pPr>
        <w:pStyle w:val="Heading3"/>
      </w:pPr>
      <w:r>
        <w:t xml:space="preserve">3.2 Production Phase Emissions (Scope 2)</w:t>
      </w:r>
    </w:p>
    <w:p>
      <w:pPr>
        <w:pStyle w:val="FirstParagraph"/>
      </w:pPr>
      <w:r>
        <w:t xml:space="preserve">The production of rwwnzrvfww takes place in China. The energy intensity for production is</w:t>
      </w:r>
      <w:r>
        <w:t xml:space="preserve"> </w:t>
      </w:r>
      <w:r>
        <w:rPr>
          <w:rStyle w:val="VerbatimChar"/>
        </w:rPr>
        <w:t xml:space="preserve">ygmjjnfmxj</w:t>
      </w:r>
      <w:r>
        <w:t xml:space="preserve"> </w:t>
      </w:r>
      <w:r>
        <w:t xml:space="preserve">(0.5 kWh/unit), with</w:t>
      </w:r>
      <w:r>
        <w:t xml:space="preserve"> </w:t>
      </w:r>
      <w:r>
        <w:rPr>
          <w:rStyle w:val="VerbatimChar"/>
        </w:rPr>
        <w:t xml:space="preserve">quttxvfsfo</w:t>
      </w:r>
      <w:r>
        <w:t xml:space="preserve"> </w:t>
      </w:r>
      <w:r>
        <w:t xml:space="preserve">(60%) of this energy sourced from renewable energy.</w:t>
      </w:r>
    </w:p>
    <w:p>
      <w:pPr>
        <w:numPr>
          <w:ilvl w:val="0"/>
          <w:numId w:val="1006"/>
        </w:numPr>
        <w:pStyle w:val="Compact"/>
      </w:pPr>
      <w:r>
        <w:rPr>
          <w:bCs/>
          <w:b/>
        </w:rPr>
        <w:t xml:space="preserve">Total Energy Intensity:</w:t>
      </w:r>
      <w:r>
        <w:t xml:space="preserve"> </w:t>
      </w:r>
      <w:r>
        <w:t xml:space="preserve">0.5 kWh/unit</w:t>
      </w:r>
    </w:p>
    <w:p>
      <w:pPr>
        <w:numPr>
          <w:ilvl w:val="0"/>
          <w:numId w:val="1006"/>
        </w:numPr>
        <w:pStyle w:val="Compact"/>
      </w:pPr>
      <w:r>
        <w:rPr>
          <w:bCs/>
          <w:b/>
        </w:rPr>
        <w:t xml:space="preserve">Renewable Energy Usage:</w:t>
      </w:r>
      <w:r>
        <w:t xml:space="preserve"> </w:t>
      </w:r>
      <w:r>
        <w:t xml:space="preserve">60%</w:t>
      </w:r>
    </w:p>
    <w:p>
      <w:pPr>
        <w:numPr>
          <w:ilvl w:val="0"/>
          <w:numId w:val="1006"/>
        </w:numPr>
        <w:pStyle w:val="Compact"/>
      </w:pPr>
      <w:r>
        <w:rPr>
          <w:bCs/>
          <w:b/>
        </w:rPr>
        <w:t xml:space="preserve">Non-renewable Electricity Consumption:</w:t>
      </w:r>
      <w:r>
        <w:t xml:space="preserve"> </w:t>
      </w:r>
      <w:r>
        <w:t xml:space="preserve">0.5 kWh/unit * (1 - 0.60) = 0.2 kWh/unit</w:t>
      </w:r>
    </w:p>
    <w:p>
      <w:pPr>
        <w:numPr>
          <w:ilvl w:val="0"/>
          <w:numId w:val="1006"/>
        </w:numPr>
        <w:pStyle w:val="Compact"/>
      </w:pPr>
      <w:r>
        <w:rPr>
          <w:bCs/>
          <w:b/>
        </w:rPr>
        <w:t xml:space="preserve">China Electricity Grid Emission Factor (2026 estimate):</w:t>
      </w:r>
      <w:r>
        <w:t xml:space="preserve"> </w:t>
      </w:r>
      <w:r>
        <w:t xml:space="preserve">0.5 kgCO2e/kWh</w:t>
      </w:r>
    </w:p>
    <w:p>
      <w:pPr>
        <w:numPr>
          <w:ilvl w:val="0"/>
          <w:numId w:val="1006"/>
        </w:numPr>
        <w:pStyle w:val="Compact"/>
      </w:pPr>
      <w:r>
        <w:rPr>
          <w:bCs/>
          <w:b/>
        </w:rPr>
        <w:t xml:space="preserve">Production Emissions (Scope 2):</w:t>
      </w:r>
      <w:r>
        <w:t xml:space="preserve"> </w:t>
      </w:r>
      <w:r>
        <w:t xml:space="preserve">0.2 kWh/unit * 0.5 kgCO2e/kWh =</w:t>
      </w:r>
      <w:r>
        <w:t xml:space="preserve"> </w:t>
      </w:r>
      <w:r>
        <w:rPr>
          <w:bCs/>
          <w:b/>
        </w:rPr>
        <w:t xml:space="preserve">0.1 kgCO2e/unit</w:t>
      </w:r>
    </w:p>
    <w:p>
      <w:pPr>
        <w:pStyle w:val="FirstParagraph"/>
      </w:pPr>
      <w:r>
        <w:rPr>
          <w:iCs/>
          <w:i/>
        </w:rPr>
        <w:t xml:space="preserve">Note: Scope 1 direct emissions from manufacturing (e.g., on-site fuel combustion) are assumed to be negligible or implicitly covered by the purchased electricity intensity for this product type.</w:t>
      </w:r>
    </w:p>
    <w:bookmarkEnd w:id="32"/>
    <w:bookmarkStart w:id="34" w:name="Xb13e4b55ff537221111e60e3dec5004b8884330"/>
    <w:p>
      <w:pPr>
        <w:pStyle w:val="Heading3"/>
      </w:pPr>
      <w:r>
        <w:t xml:space="preserve">3.3 Transport &amp; Logistics (Scope 3 - Categories 4 &amp; 9)</w:t>
      </w:r>
    </w:p>
    <w:p>
      <w:pPr>
        <w:pStyle w:val="FirstParagraph"/>
      </w:pPr>
      <w:r>
        <w:t xml:space="preserve">The transport parameters include a total distance of</w:t>
      </w:r>
      <w:r>
        <w:t xml:space="preserve"> </w:t>
      </w:r>
      <w:r>
        <w:rPr>
          <w:rStyle w:val="VerbatimChar"/>
        </w:rPr>
        <w:t xml:space="preserve">jlzwghwidl</w:t>
      </w:r>
      <w:r>
        <w:t xml:space="preserve"> </w:t>
      </w:r>
      <w:r>
        <w:t xml:space="preserve">(15000 km) and utilize</w:t>
      </w:r>
      <w:r>
        <w:t xml:space="preserve"> </w:t>
      </w:r>
      <w:r>
        <w:rPr>
          <w:rStyle w:val="VerbatimChar"/>
        </w:rPr>
        <w:t xml:space="preserve">Select Mode</w:t>
      </w:r>
      <w:r>
        <w:t xml:space="preserve"> </w:t>
      </w:r>
      <w:r>
        <w:t xml:space="preserve">(Ocean Freight) for main transport and</w:t>
      </w:r>
      <w:r>
        <w:t xml:space="preserve"> </w:t>
      </w:r>
      <w:r>
        <w:rPr>
          <w:rStyle w:val="VerbatimChar"/>
        </w:rPr>
        <w:t xml:space="preserve">Delivery Type</w:t>
      </w:r>
      <w:r>
        <w:t xml:space="preserve"> </w:t>
      </w:r>
      <w:r>
        <w:t xml:space="preserve">(Road (Heavy Goods Vehicle)) for last-mile delivery. The product weight for transport is assumed to be 0.0005 tonnes (0.5 kg).</w:t>
      </w:r>
    </w:p>
    <w:p>
      <w:pPr>
        <w:numPr>
          <w:ilvl w:val="0"/>
          <w:numId w:val="1007"/>
        </w:numPr>
        <w:pStyle w:val="Compact"/>
      </w:pPr>
      <w:r>
        <w:rPr>
          <w:bCs/>
          <w:b/>
        </w:rPr>
        <w:t xml:space="preserve">Total Transport Distance:</w:t>
      </w:r>
      <w:r>
        <w:t xml:space="preserve"> </w:t>
      </w:r>
      <w:r>
        <w:t xml:space="preserve">15000 km</w:t>
      </w:r>
    </w:p>
    <w:p>
      <w:pPr>
        <w:numPr>
          <w:ilvl w:val="0"/>
          <w:numId w:val="1007"/>
        </w:numPr>
        <w:pStyle w:val="Compact"/>
      </w:pPr>
      <w:r>
        <w:rPr>
          <w:bCs/>
          <w:b/>
        </w:rPr>
        <w:t xml:space="preserve">Product Weight:</w:t>
      </w:r>
      <w:r>
        <w:t xml:space="preserve"> </w:t>
      </w:r>
      <w:r>
        <w:t xml:space="preserve">0.0005 tonnes</w:t>
      </w:r>
    </w:p>
    <w:p>
      <w:pPr>
        <w:numPr>
          <w:ilvl w:val="0"/>
          <w:numId w:val="1007"/>
        </w:numPr>
        <w:pStyle w:val="Compact"/>
      </w:pPr>
      <w:r>
        <w:rPr>
          <w:bCs/>
          <w:b/>
        </w:rPr>
        <w:t xml:space="preserve">Assumed Ocean Freight Emission Factor:</w:t>
      </w:r>
      <w:r>
        <w:t xml:space="preserve"> </w:t>
      </w:r>
      <w:r>
        <w:t xml:space="preserve">0.016 kgCO2e/tkm</w:t>
      </w:r>
    </w:p>
    <w:p>
      <w:pPr>
        <w:numPr>
          <w:ilvl w:val="0"/>
          <w:numId w:val="1007"/>
        </w:numPr>
        <w:pStyle w:val="Compact"/>
      </w:pPr>
      <w:r>
        <w:rPr>
          <w:bCs/>
          <w:b/>
        </w:rPr>
        <w:t xml:space="preserve">Assumed Road Freight (Heavy Goods Vehicle) Emission Factor:</w:t>
      </w:r>
      <w:r>
        <w:t xml:space="preserve"> </w:t>
      </w:r>
      <w:r>
        <w:t xml:space="preserve">0.08 kgCO2e/tkm</w:t>
      </w:r>
    </w:p>
    <w:bookmarkStart w:id="33" w:name="calculation"/>
    <w:p>
      <w:pPr>
        <w:pStyle w:val="Heading4"/>
      </w:pPr>
      <w:r>
        <w:t xml:space="preserve">Calculation:</w:t>
      </w:r>
    </w:p>
    <w:p>
      <w:pPr>
        <w:numPr>
          <w:ilvl w:val="0"/>
          <w:numId w:val="1008"/>
        </w:numPr>
        <w:pStyle w:val="Compact"/>
      </w:pPr>
      <w:r>
        <w:rPr>
          <w:bCs/>
          <w:b/>
        </w:rPr>
        <w:t xml:space="preserve">Upstream Transport (Components to China - Scope 3, Category 4):</w:t>
      </w:r>
      <w:r>
        <w:t xml:space="preserve"> </w:t>
      </w:r>
      <w:r>
        <w:t xml:space="preserve">Assumed 7500 km at 0.00025 tonnes (half product weight for components) via Ocean Freight.</w:t>
      </w:r>
    </w:p>
    <w:p>
      <w:pPr>
        <w:numPr>
          <w:ilvl w:val="1"/>
          <w:numId w:val="1009"/>
        </w:numPr>
        <w:pStyle w:val="Compact"/>
      </w:pPr>
      <w:r>
        <w:t xml:space="preserve">Emissions = 0.00025 t * 7500 km * 0.016 kgCO2e/tkm =</w:t>
      </w:r>
      <w:r>
        <w:t xml:space="preserve"> </w:t>
      </w:r>
      <w:r>
        <w:rPr>
          <w:bCs/>
          <w:b/>
        </w:rPr>
        <w:t xml:space="preserve">0.03 kgCO2e</w:t>
      </w:r>
    </w:p>
    <w:p>
      <w:pPr>
        <w:numPr>
          <w:ilvl w:val="0"/>
          <w:numId w:val="1008"/>
        </w:numPr>
        <w:pStyle w:val="Compact"/>
      </w:pPr>
      <w:r>
        <w:rPr>
          <w:bCs/>
          <w:b/>
        </w:rPr>
        <w:t xml:space="preserve">Downstream Transport (Product from China to Europe - Main Leg - Scope 3, Category 9):</w:t>
      </w:r>
      <w:r>
        <w:t xml:space="preserve"> </w:t>
      </w:r>
      <w:r>
        <w:t xml:space="preserve">Assumed 7500 km at 0.0005 tonnes via Ocean Freight.</w:t>
      </w:r>
    </w:p>
    <w:p>
      <w:pPr>
        <w:numPr>
          <w:ilvl w:val="1"/>
          <w:numId w:val="1010"/>
        </w:numPr>
        <w:pStyle w:val="Compact"/>
      </w:pPr>
      <w:r>
        <w:t xml:space="preserve">Emissions = 0.0005 t * 7500 km * 0.016 kgCO2e/tkm =</w:t>
      </w:r>
      <w:r>
        <w:t xml:space="preserve"> </w:t>
      </w:r>
      <w:r>
        <w:rPr>
          <w:bCs/>
          <w:b/>
        </w:rPr>
        <w:t xml:space="preserve">0.06 kgCO2e</w:t>
      </w:r>
    </w:p>
    <w:p>
      <w:pPr>
        <w:numPr>
          <w:ilvl w:val="0"/>
          <w:numId w:val="1008"/>
        </w:numPr>
        <w:pStyle w:val="Compact"/>
      </w:pPr>
      <w:r>
        <w:rPr>
          <w:bCs/>
          <w:b/>
        </w:rPr>
        <w:t xml:space="preserve">Last-Mile Delivery (Within Europe - Scope 3, Category 9):</w:t>
      </w:r>
      <w:r>
        <w:t xml:space="preserve"> </w:t>
      </w:r>
      <w:r>
        <w:t xml:space="preserve">Assumed 500 km at 0.0005 tonnes via Road (Heavy Goods Vehicle).</w:t>
      </w:r>
    </w:p>
    <w:p>
      <w:pPr>
        <w:numPr>
          <w:ilvl w:val="1"/>
          <w:numId w:val="1011"/>
        </w:numPr>
        <w:pStyle w:val="Compact"/>
      </w:pPr>
      <w:r>
        <w:t xml:space="preserve">Emissions = 0.0005 t * 500 km * 0.08 kgCO2e/tkm =</w:t>
      </w:r>
      <w:r>
        <w:t xml:space="preserve"> </w:t>
      </w:r>
      <w:r>
        <w:rPr>
          <w:bCs/>
          <w:b/>
        </w:rPr>
        <w:t xml:space="preserve">0.02 kgCO2e</w:t>
      </w:r>
    </w:p>
    <w:p>
      <w:pPr>
        <w:numPr>
          <w:ilvl w:val="0"/>
          <w:numId w:val="1008"/>
        </w:numPr>
        <w:pStyle w:val="Compact"/>
      </w:pPr>
      <w:r>
        <w:rPr>
          <w:bCs/>
          <w:b/>
        </w:rPr>
        <w:t xml:space="preserve">Total Transport &amp; Logistics Impact:</w:t>
      </w:r>
      <w:r>
        <w:t xml:space="preserve"> </w:t>
      </w:r>
      <w:r>
        <w:t xml:space="preserve">0.03 + 0.06 + 0.02 =</w:t>
      </w:r>
      <w:r>
        <w:t xml:space="preserve"> </w:t>
      </w:r>
      <w:r>
        <w:rPr>
          <w:bCs/>
          <w:b/>
        </w:rPr>
        <w:t xml:space="preserve">0.11 kgCO2e</w:t>
      </w:r>
    </w:p>
    <w:bookmarkEnd w:id="33"/>
    <w:bookmarkEnd w:id="34"/>
    <w:bookmarkStart w:id="35" w:name="X687445901a9235e23446a36286990b6b14efa53"/>
    <w:p>
      <w:pPr>
        <w:pStyle w:val="Heading3"/>
      </w:pPr>
      <w:r>
        <w:t xml:space="preserve">3.4 Use Phase (Scope 3 - Category 11: Use of Sold Products)</w:t>
      </w:r>
    </w:p>
    <w:p>
      <w:pPr>
        <w:pStyle w:val="FirstParagraph"/>
      </w:pPr>
      <w:r>
        <w:t xml:space="preserve">The use phase incorporates a Product Lifespan of</w:t>
      </w:r>
      <w:r>
        <w:t xml:space="preserve"> </w:t>
      </w:r>
      <w:r>
        <w:rPr>
          <w:rStyle w:val="VerbatimChar"/>
        </w:rPr>
        <w:t xml:space="preserve">ieuqfmnnhg</w:t>
      </w:r>
      <w:r>
        <w:t xml:space="preserve"> </w:t>
      </w:r>
      <w:r>
        <w:t xml:space="preserve">(5 years) and Energy Consumption in Use of</w:t>
      </w:r>
      <w:r>
        <w:t xml:space="preserve"> </w:t>
      </w:r>
      <w:r>
        <w:rPr>
          <w:rStyle w:val="VerbatimChar"/>
        </w:rPr>
        <w:t xml:space="preserve">nzjnxqdift</w:t>
      </w:r>
      <w:r>
        <w:t xml:space="preserve"> </w:t>
      </w:r>
      <w:r>
        <w:t xml:space="preserve">(5 kWh/year).</w:t>
      </w:r>
    </w:p>
    <w:p>
      <w:pPr>
        <w:numPr>
          <w:ilvl w:val="0"/>
          <w:numId w:val="1012"/>
        </w:numPr>
        <w:pStyle w:val="Compact"/>
      </w:pPr>
      <w:r>
        <w:rPr>
          <w:bCs/>
          <w:b/>
        </w:rPr>
        <w:t xml:space="preserve">Total Energy Consumption in Use:</w:t>
      </w:r>
      <w:r>
        <w:t xml:space="preserve"> </w:t>
      </w:r>
      <w:r>
        <w:t xml:space="preserve">5 years * 5 kWh/year = 25 kWh</w:t>
      </w:r>
    </w:p>
    <w:p>
      <w:pPr>
        <w:numPr>
          <w:ilvl w:val="0"/>
          <w:numId w:val="1012"/>
        </w:numPr>
        <w:pStyle w:val="Compact"/>
      </w:pPr>
      <w:r>
        <w:rPr>
          <w:bCs/>
          <w:b/>
        </w:rPr>
        <w:t xml:space="preserve">Assumed European Electricity Grid Emission Factor (2026 estimate for end-user):</w:t>
      </w:r>
      <w:r>
        <w:t xml:space="preserve"> </w:t>
      </w:r>
      <w:r>
        <w:t xml:space="preserve">0.15 kgCO2e/kWh</w:t>
      </w:r>
    </w:p>
    <w:p>
      <w:pPr>
        <w:numPr>
          <w:ilvl w:val="0"/>
          <w:numId w:val="1012"/>
        </w:numPr>
        <w:pStyle w:val="Compact"/>
      </w:pPr>
      <w:r>
        <w:rPr>
          <w:bCs/>
          <w:b/>
        </w:rPr>
        <w:t xml:space="preserve">Use Phase Emissions:</w:t>
      </w:r>
      <w:r>
        <w:t xml:space="preserve"> </w:t>
      </w:r>
      <w:r>
        <w:t xml:space="preserve">25 kWh * 0.15 kgCO2e/kWh =</w:t>
      </w:r>
      <w:r>
        <w:t xml:space="preserve"> </w:t>
      </w:r>
      <w:r>
        <w:rPr>
          <w:bCs/>
          <w:b/>
        </w:rPr>
        <w:t xml:space="preserve">3.75 kgCO2e</w:t>
      </w:r>
    </w:p>
    <w:bookmarkEnd w:id="35"/>
    <w:bookmarkStart w:id="36" w:name="X476d265adbb735fcd21601fcf5c7b4762da0b15"/>
    <w:p>
      <w:pPr>
        <w:pStyle w:val="Heading3"/>
      </w:pPr>
      <w:r>
        <w:t xml:space="preserve">3.5 End-of-Life (EoL) Scenarios (Scope 3 - Category 12: End-of-Life Treatment of Sold Products)</w:t>
      </w:r>
    </w:p>
    <w:p>
      <w:pPr>
        <w:pStyle w:val="FirstParagraph"/>
      </w:pPr>
      <w:r>
        <w:t xml:space="preserve">The End-of-Life phase considers a Recyclability Percentage of</w:t>
      </w:r>
      <w:r>
        <w:t xml:space="preserve"> </w:t>
      </w:r>
      <w:r>
        <w:rPr>
          <w:rStyle w:val="VerbatimChar"/>
        </w:rPr>
        <w:t xml:space="preserve">zoxqywdwrd</w:t>
      </w:r>
      <w:r>
        <w:t xml:space="preserve"> </w:t>
      </w:r>
      <w:r>
        <w:t xml:space="preserve">(80%) and the existence of</w:t>
      </w:r>
      <w:r>
        <w:t xml:space="preserve"> </w:t>
      </w:r>
      <w:r>
        <w:rPr>
          <w:rStyle w:val="VerbatimChar"/>
        </w:rPr>
        <w:t xml:space="preserve">pvqynnszez</w:t>
      </w:r>
      <w:r>
        <w:t xml:space="preserve"> </w:t>
      </w:r>
      <w:r>
        <w:t xml:space="preserve">(Product take-back and refurbishment program).</w:t>
      </w:r>
    </w:p>
    <w:p>
      <w:pPr>
        <w:numPr>
          <w:ilvl w:val="0"/>
          <w:numId w:val="1013"/>
        </w:numPr>
        <w:pStyle w:val="Compact"/>
      </w:pPr>
      <w:r>
        <w:rPr>
          <w:bCs/>
          <w:b/>
        </w:rPr>
        <w:t xml:space="preserve">Total Material Weight for EoL:</w:t>
      </w:r>
      <w:r>
        <w:t xml:space="preserve"> </w:t>
      </w:r>
      <w:r>
        <w:t xml:space="preserve">0.39 kg (sum of BOM materials)</w:t>
      </w:r>
    </w:p>
    <w:p>
      <w:pPr>
        <w:numPr>
          <w:ilvl w:val="0"/>
          <w:numId w:val="1013"/>
        </w:numPr>
        <w:pStyle w:val="Compact"/>
      </w:pPr>
      <w:r>
        <w:rPr>
          <w:bCs/>
          <w:b/>
        </w:rPr>
        <w:t xml:space="preserve">Recycled Portion:</w:t>
      </w:r>
      <w:r>
        <w:t xml:space="preserve"> </w:t>
      </w:r>
      <w:r>
        <w:t xml:space="preserve">0.39 kg * 0.80 = 0.312 kg</w:t>
      </w:r>
    </w:p>
    <w:p>
      <w:pPr>
        <w:numPr>
          <w:ilvl w:val="0"/>
          <w:numId w:val="1013"/>
        </w:numPr>
        <w:pStyle w:val="Compact"/>
      </w:pPr>
      <w:r>
        <w:rPr>
          <w:bCs/>
          <w:b/>
        </w:rPr>
        <w:t xml:space="preserve">Disposed Portion:</w:t>
      </w:r>
      <w:r>
        <w:t xml:space="preserve"> </w:t>
      </w:r>
      <w:r>
        <w:t xml:space="preserve">0.39 kg * 0.20 = 0.078 kg</w:t>
      </w:r>
    </w:p>
    <w:p>
      <w:pPr>
        <w:numPr>
          <w:ilvl w:val="0"/>
          <w:numId w:val="1013"/>
        </w:numPr>
        <w:pStyle w:val="Compact"/>
      </w:pPr>
      <w:r>
        <w:rPr>
          <w:bCs/>
          <w:b/>
        </w:rPr>
        <w:t xml:space="preserve">Avoided Emissions from Recycling:</w:t>
      </w:r>
      <w:r>
        <w:t xml:space="preserve"> </w:t>
      </w:r>
      <w:r>
        <w:t xml:space="preserve">Assumed 50% credit on original material emissions for the recycled portion.</w:t>
      </w:r>
    </w:p>
    <w:p>
      <w:pPr>
        <w:numPr>
          <w:ilvl w:val="1"/>
          <w:numId w:val="1014"/>
        </w:numPr>
        <w:pStyle w:val="Compact"/>
      </w:pPr>
      <w:r>
        <w:t xml:space="preserve">Original Material Emissions: 2.09 kgCO2e</w:t>
      </w:r>
    </w:p>
    <w:p>
      <w:pPr>
        <w:numPr>
          <w:ilvl w:val="1"/>
          <w:numId w:val="1014"/>
        </w:numPr>
        <w:pStyle w:val="Compact"/>
      </w:pPr>
      <w:r>
        <w:t xml:space="preserve">Avoided Emissions = 2.09 kgCO2e * 0.80 * 0.50 =</w:t>
      </w:r>
      <w:r>
        <w:t xml:space="preserve"> </w:t>
      </w:r>
      <w:r>
        <w:rPr>
          <w:bCs/>
          <w:b/>
        </w:rPr>
        <w:t xml:space="preserve">-0.836 kgCO2e</w:t>
      </w:r>
    </w:p>
    <w:p>
      <w:pPr>
        <w:numPr>
          <w:ilvl w:val="0"/>
          <w:numId w:val="1013"/>
        </w:numPr>
        <w:pStyle w:val="Compact"/>
      </w:pPr>
      <w:r>
        <w:rPr>
          <w:bCs/>
          <w:b/>
        </w:rPr>
        <w:t xml:space="preserve">Emissions from Disposal (Landfill):</w:t>
      </w:r>
      <w:r>
        <w:t xml:space="preserve"> </w:t>
      </w:r>
      <w:r>
        <w:t xml:space="preserve">Assumed 0.1 kgCO2e/kg for disposed materials.</w:t>
      </w:r>
    </w:p>
    <w:p>
      <w:pPr>
        <w:numPr>
          <w:ilvl w:val="1"/>
          <w:numId w:val="1015"/>
        </w:numPr>
        <w:pStyle w:val="Compact"/>
      </w:pPr>
      <w:r>
        <w:t xml:space="preserve">Disposal Emissions = 0.078 kg * 0.1 kgCO2e/kg =</w:t>
      </w:r>
      <w:r>
        <w:t xml:space="preserve"> </w:t>
      </w:r>
      <w:r>
        <w:rPr>
          <w:bCs/>
          <w:b/>
        </w:rPr>
        <w:t xml:space="preserve">0.0078 kgCO2e</w:t>
      </w:r>
    </w:p>
    <w:p>
      <w:pPr>
        <w:numPr>
          <w:ilvl w:val="0"/>
          <w:numId w:val="1013"/>
        </w:numPr>
        <w:pStyle w:val="Compact"/>
      </w:pPr>
      <w:r>
        <w:rPr>
          <w:bCs/>
          <w:b/>
        </w:rPr>
        <w:t xml:space="preserve">Net End-of-Life Impact:</w:t>
      </w:r>
      <w:r>
        <w:t xml:space="preserve"> </w:t>
      </w:r>
      <w:r>
        <w:t xml:space="preserve">0.0078 - 0.836 =</w:t>
      </w:r>
      <w:r>
        <w:t xml:space="preserve"> </w:t>
      </w:r>
      <w:r>
        <w:rPr>
          <w:bCs/>
          <w:b/>
        </w:rPr>
        <w:t xml:space="preserve">-0.8282 kgCO2e</w:t>
      </w:r>
      <w:r>
        <w:t xml:space="preserve"> </w:t>
      </w:r>
      <w:r>
        <w:t xml:space="preserve">(net avoided emissions)</w:t>
      </w:r>
    </w:p>
    <w:p>
      <w:r>
        <w:pict>
          <v:rect style="width:0;height:1.5pt" o:hralign="center" o:hrstd="t" o:hr="t"/>
        </w:pict>
      </w:r>
    </w:p>
    <w:bookmarkEnd w:id="36"/>
    <w:bookmarkEnd w:id="37"/>
    <w:bookmarkStart w:id="41" w:name="summary-of-emissions"/>
    <w:p>
      <w:pPr>
        <w:pStyle w:val="Heading2"/>
      </w:pPr>
      <w:r>
        <w:t xml:space="preserve">4. Summary of Emissions</w:t>
      </w:r>
    </w:p>
    <w:bookmarkStart w:id="38" w:name="total-product-carbon-footprint"/>
    <w:p>
      <w:pPr>
        <w:pStyle w:val="Heading3"/>
      </w:pPr>
      <w:r>
        <w:t xml:space="preserve">4.1 Total Product Carbon Footprint</w:t>
      </w:r>
    </w:p>
    <w:p>
      <w:pPr>
        <w:pStyle w:val="FirstParagraph"/>
      </w:pPr>
      <w:r>
        <w:t xml:space="preserve">The aggregated Product Carbon Footprint for one unit of rwwnzrvfww is presented below:</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Lifecycle Stage</w:t>
            </w:r>
          </w:p>
        </w:tc>
        <w:tc>
          <w:tcPr/>
          <w:p>
            <w:pPr>
              <w:pStyle w:val="Compact"/>
              <w:jc w:val="left"/>
            </w:pPr>
            <w:r>
              <w:t xml:space="preserve">CO2e (kg)</w:t>
            </w:r>
          </w:p>
        </w:tc>
      </w:tr>
      <w:tr>
        <w:tc>
          <w:tcPr/>
          <w:p>
            <w:pPr>
              <w:pStyle w:val="Compact"/>
              <w:jc w:val="left"/>
            </w:pPr>
            <w:r>
              <w:t xml:space="preserve">Material Acquisition &amp; Pre-processing</w:t>
            </w:r>
          </w:p>
        </w:tc>
        <w:tc>
          <w:tcPr/>
          <w:p>
            <w:pPr>
              <w:pStyle w:val="Compact"/>
              <w:jc w:val="left"/>
            </w:pPr>
            <w:r>
              <w:t xml:space="preserve">2.09</w:t>
            </w:r>
          </w:p>
        </w:tc>
      </w:tr>
      <w:tr>
        <w:tc>
          <w:tcPr/>
          <w:p>
            <w:pPr>
              <w:pStyle w:val="Compact"/>
              <w:jc w:val="left"/>
            </w:pPr>
            <w:r>
              <w:t xml:space="preserve">Manufacturing (Production Energy)</w:t>
            </w:r>
          </w:p>
        </w:tc>
        <w:tc>
          <w:tcPr/>
          <w:p>
            <w:pPr>
              <w:pStyle w:val="Compact"/>
              <w:jc w:val="left"/>
            </w:pPr>
            <w:r>
              <w:t xml:space="preserve">0.10</w:t>
            </w:r>
          </w:p>
        </w:tc>
      </w:tr>
      <w:tr>
        <w:tc>
          <w:tcPr/>
          <w:p>
            <w:pPr>
              <w:pStyle w:val="Compact"/>
              <w:jc w:val="left"/>
            </w:pPr>
            <w:r>
              <w:t xml:space="preserve">Transport &amp; Logistics</w:t>
            </w:r>
          </w:p>
        </w:tc>
        <w:tc>
          <w:tcPr/>
          <w:p>
            <w:pPr>
              <w:pStyle w:val="Compact"/>
              <w:jc w:val="left"/>
            </w:pPr>
            <w:r>
              <w:t xml:space="preserve">0.11</w:t>
            </w:r>
          </w:p>
        </w:tc>
      </w:tr>
      <w:tr>
        <w:tc>
          <w:tcPr/>
          <w:p>
            <w:pPr>
              <w:pStyle w:val="Compact"/>
              <w:jc w:val="left"/>
            </w:pPr>
            <w:r>
              <w:t xml:space="preserve">Use Phase</w:t>
            </w:r>
          </w:p>
        </w:tc>
        <w:tc>
          <w:tcPr/>
          <w:p>
            <w:pPr>
              <w:pStyle w:val="Compact"/>
              <w:jc w:val="left"/>
            </w:pPr>
            <w:r>
              <w:t xml:space="preserve">3.75</w:t>
            </w:r>
          </w:p>
        </w:tc>
      </w:tr>
      <w:tr>
        <w:tc>
          <w:tcPr/>
          <w:p>
            <w:pPr>
              <w:pStyle w:val="Compact"/>
              <w:jc w:val="left"/>
            </w:pPr>
            <w:r>
              <w:t xml:space="preserve">End-of-Life Treatment (Net)</w:t>
            </w:r>
          </w:p>
        </w:tc>
        <w:tc>
          <w:tcPr/>
          <w:p>
            <w:pPr>
              <w:pStyle w:val="Compact"/>
              <w:jc w:val="left"/>
            </w:pPr>
            <w:r>
              <w:t xml:space="preserve">-0.83</w:t>
            </w:r>
          </w:p>
        </w:tc>
      </w:tr>
      <w:tr>
        <w:tc>
          <w:tcPr/>
          <w:p>
            <w:pPr>
              <w:pStyle w:val="Compact"/>
              <w:jc w:val="right"/>
            </w:pPr>
            <w:r>
              <w:t xml:space="preserve">Total Product Carbon Footprint:</w:t>
            </w:r>
          </w:p>
        </w:tc>
        <w:tc>
          <w:tcPr/>
          <w:p>
            <w:pPr>
              <w:pStyle w:val="Compact"/>
              <w:jc w:val="left"/>
            </w:pPr>
            <w:r>
              <w:rPr>
                <w:bCs/>
                <w:b/>
              </w:rPr>
              <w:t xml:space="preserve">5.22 kgCO2e</w:t>
            </w:r>
          </w:p>
        </w:tc>
      </w:tr>
    </w:tbl>
    <w:bookmarkEnd w:id="38"/>
    <w:bookmarkStart w:id="39" w:name="emissions-by-ghg-protocol-scope"/>
    <w:p>
      <w:pPr>
        <w:pStyle w:val="Heading3"/>
      </w:pPr>
      <w:r>
        <w:t xml:space="preserve">4.2 Emissions by GHG Protocol Scope</w:t>
      </w:r>
    </w:p>
    <w:p>
      <w:pPr>
        <w:pStyle w:val="FirstParagraph"/>
      </w:pPr>
      <w:r>
        <w:t xml:space="preserve">The emissions are categorized according to the GHG Protocol:</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CO2e (kg)</w:t>
            </w:r>
          </w:p>
        </w:tc>
      </w:tr>
      <w:tr>
        <w:tc>
          <w:tcPr/>
          <w:p>
            <w:pPr>
              <w:pStyle w:val="Compact"/>
              <w:jc w:val="left"/>
            </w:pPr>
            <w:r>
              <w:t xml:space="preserve">Scope 1</w:t>
            </w:r>
          </w:p>
        </w:tc>
        <w:tc>
          <w:tcPr/>
          <w:p>
            <w:pPr>
              <w:pStyle w:val="Compact"/>
              <w:jc w:val="left"/>
            </w:pPr>
            <w:r>
              <w:t xml:space="preserve">Direct Emissions from Owned or Controlled Sources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Indirect Emissions from Purchased Energy (Electricity, Heat, Steam)</w:t>
            </w:r>
          </w:p>
        </w:tc>
        <w:tc>
          <w:tcPr/>
          <w:p>
            <w:pPr>
              <w:pStyle w:val="Compact"/>
              <w:jc w:val="left"/>
            </w:pPr>
            <w:r>
              <w:t xml:space="preserve">0.10</w:t>
            </w:r>
          </w:p>
        </w:tc>
      </w:tr>
      <w:tr>
        <w:tc>
          <w:tcPr/>
          <w:p>
            <w:pPr>
              <w:pStyle w:val="Compact"/>
              <w:jc w:val="left"/>
            </w:pPr>
            <w:r>
              <w:t xml:space="preserve">Scope 3</w:t>
            </w:r>
          </w:p>
        </w:tc>
        <w:tc>
          <w:tcPr/>
          <w:p>
            <w:pPr>
              <w:pStyle w:val="Compact"/>
              <w:jc w:val="left"/>
            </w:pPr>
            <w:r>
              <w:t xml:space="preserve">All Other Indirect Emissions in the Value Chain (Upstream &amp; Downstream)</w:t>
            </w:r>
          </w:p>
        </w:tc>
        <w:tc>
          <w:tcPr/>
          <w:p>
            <w:pPr>
              <w:pStyle w:val="Compact"/>
              <w:jc w:val="left"/>
            </w:pPr>
            <w:r>
              <w:t xml:space="preserve">5.12</w:t>
            </w:r>
          </w:p>
        </w:tc>
      </w:tr>
      <w:tr>
        <w:tc>
          <w:tcPr>
            <w:gridSpan w:val="2"/>
          </w:tcPr>
          <w:p>
            <w:pPr>
              <w:pStyle w:val="Compact"/>
              <w:jc w:val="right"/>
            </w:pPr>
            <w:r>
              <w:t xml:space="preserve">Total Product Carbon Footprint:</w:t>
            </w:r>
          </w:p>
        </w:tc>
        <w:tc>
          <w:tcPr/>
          <w:p>
            <w:pPr>
              <w:pStyle w:val="Compact"/>
              <w:jc w:val="left"/>
            </w:pPr>
            <w:r>
              <w:rPr>
                <w:bCs/>
                <w:b/>
              </w:rPr>
              <w:t xml:space="preserve">5.22 kgCO2e</w:t>
            </w:r>
          </w:p>
        </w:tc>
      </w:tr>
    </w:tbl>
    <w:p>
      <w:pPr>
        <w:pStyle w:val="BodyText"/>
      </w:pPr>
      <w:r>
        <w:rPr>
          <w:iCs/>
          <w:i/>
        </w:rPr>
        <w:t xml:space="preserve">Note on Scope 1: Direct emissions are assumed negligible for this product\'s manufacturing process, as primary energy consumption is captured under Scope 2 (purchased electricity).</w:t>
      </w:r>
    </w:p>
    <w:bookmarkEnd w:id="39"/>
    <w:bookmarkStart w:id="40" w:name="hotspot-analysis-reliability"/>
    <w:p>
      <w:pPr>
        <w:pStyle w:val="Heading3"/>
      </w:pPr>
      <w:r>
        <w:t xml:space="preserve">4.3 Hotspot Analysis &amp; Reliability</w:t>
      </w:r>
    </w:p>
    <w:p>
      <w:pPr>
        <w:pStyle w:val="FirstParagraph"/>
      </w:pPr>
      <w:r>
        <w:t xml:space="preserve">The analysis reveals the following hotspots:</w:t>
      </w:r>
    </w:p>
    <w:p>
      <w:pPr>
        <w:numPr>
          <w:ilvl w:val="0"/>
          <w:numId w:val="1016"/>
        </w:numPr>
        <w:pStyle w:val="Compact"/>
      </w:pPr>
      <w:r>
        <w:rPr>
          <w:bCs/>
          <w:b/>
        </w:rPr>
        <w:t xml:space="preserve">Use Phase (3.75 kgCO2e):</w:t>
      </w:r>
      <w:r>
        <w:t xml:space="preserve"> </w:t>
      </w:r>
      <w:r>
        <w:t xml:space="preserve">This stage accounts for approximately 72% of the total PCF, primarily due to the ongoing energy consumption of the Smart Home Sensor Hub over its 5-year lifespan. This is the most significant area for emission reduction.</w:t>
      </w:r>
    </w:p>
    <w:p>
      <w:pPr>
        <w:numPr>
          <w:ilvl w:val="0"/>
          <w:numId w:val="1016"/>
        </w:numPr>
        <w:pStyle w:val="Compact"/>
      </w:pPr>
      <w:r>
        <w:rPr>
          <w:bCs/>
          <w:b/>
        </w:rPr>
        <w:t xml:space="preserve">Material Acquisition (2.09 kgCO2e):</w:t>
      </w:r>
      <w:r>
        <w:t xml:space="preserve"> </w:t>
      </w:r>
      <w:r>
        <w:t xml:space="preserve">Materials, particularly electronics and plastic components, contribute approximately 40% before considering the negative impact of EoL. Optimizing material selection and design for lower-carbon alternatives is crucial.</w:t>
      </w:r>
    </w:p>
    <w:p>
      <w:pPr>
        <w:pStyle w:val="FirstParagraph"/>
      </w:pPr>
      <w:r>
        <w:rPr>
          <w:bCs/>
          <w:b/>
        </w:rPr>
        <w:t xml:space="preserve">Reliability Statement:</w:t>
      </w:r>
      <w:r>
        <w:t xml:space="preserve"> </w:t>
      </w:r>
      <w:r>
        <w:t xml:space="preserve">This report relies on a combination of primary data (provided parameters) and secondary, industry-average emission factors from reputable sources (e.g., IEA, DEFRA, Climatiq). While every effort has been made to ensure accuracy and completeness, inherent uncertainties exist in all PCF calculations due to data availability and the generalized nature of some emission factors. The adherence to GHG Protocol standards and upcoming 2026 requirements, including the 95% Scope 3 coverage target, strengthens the reliability and comparability of these results. The conceptual application of the LSR standard acknowledges the upcoming importance of land-based emissions and removals.</w:t>
      </w:r>
    </w:p>
    <w:p>
      <w:r>
        <w:pict>
          <v:rect style="width:0;height:1.5pt" o:hralign="center" o:hrstd="t" o:hr="t"/>
        </w:pict>
      </w:r>
    </w:p>
    <w:bookmarkEnd w:id="40"/>
    <w:bookmarkEnd w:id="41"/>
    <w:bookmarkStart w:id="42" w:name="recommendations-for-decarbonization"/>
    <w:p>
      <w:pPr>
        <w:pStyle w:val="Heading2"/>
      </w:pPr>
      <w:r>
        <w:t xml:space="preserve">5. Recommendations for Decarbonization</w:t>
      </w:r>
    </w:p>
    <w:p>
      <w:pPr>
        <w:pStyle w:val="FirstParagraph"/>
      </w:pPr>
      <w:r>
        <w:t xml:space="preserve">Based on the PCF analysis, the following recommendations are provided to dewihpzhvq to reduce the environmental impact of rwwnzrvfww:</w:t>
      </w:r>
    </w:p>
    <w:p>
      <w:pPr>
        <w:numPr>
          <w:ilvl w:val="0"/>
          <w:numId w:val="1017"/>
        </w:numPr>
        <w:pStyle w:val="Compact"/>
      </w:pPr>
      <w:r>
        <w:rPr>
          <w:bCs/>
          <w:b/>
        </w:rPr>
        <w:t xml:space="preserve">Enhance Use Phase Efficiency:</w:t>
      </w:r>
    </w:p>
    <w:p>
      <w:pPr>
        <w:numPr>
          <w:ilvl w:val="1"/>
          <w:numId w:val="1018"/>
        </w:numPr>
        <w:pStyle w:val="Compact"/>
      </w:pPr>
      <w:r>
        <w:t xml:space="preserve">Invest in R&amp;D to further reduce the energy consumption of the Smart Home Sensor Hub during its operational lifespan.</w:t>
      </w:r>
    </w:p>
    <w:p>
      <w:pPr>
        <w:numPr>
          <w:ilvl w:val="1"/>
          <w:numId w:val="1018"/>
        </w:numPr>
        <w:pStyle w:val="Compact"/>
      </w:pPr>
      <w:r>
        <w:t xml:space="preserve">Encourage end-users to power their devices with renewable energy through awareness campaigns or incentives.</w:t>
      </w:r>
    </w:p>
    <w:p>
      <w:pPr>
        <w:numPr>
          <w:ilvl w:val="0"/>
          <w:numId w:val="1017"/>
        </w:numPr>
        <w:pStyle w:val="Compact"/>
      </w:pPr>
      <w:r>
        <w:rPr>
          <w:bCs/>
          <w:b/>
        </w:rPr>
        <w:t xml:space="preserve">Optimize Material Sourcing &amp; Design:</w:t>
      </w:r>
    </w:p>
    <w:p>
      <w:pPr>
        <w:numPr>
          <w:ilvl w:val="1"/>
          <w:numId w:val="1019"/>
        </w:numPr>
        <w:pStyle w:val="Compact"/>
      </w:pPr>
      <w:r>
        <w:t xml:space="preserve">Explore lower-carbon alternative materials for components, especially for the PCB and plastic casing, which have high embedded emissions.</w:t>
      </w:r>
    </w:p>
    <w:p>
      <w:pPr>
        <w:numPr>
          <w:ilvl w:val="1"/>
          <w:numId w:val="1019"/>
        </w:numPr>
        <w:pStyle w:val="Compact"/>
      </w:pPr>
      <w:r>
        <w:t xml:space="preserve">Increase the recycled content of materials where feasible, without compromising product performance or durability.</w:t>
      </w:r>
    </w:p>
    <w:p>
      <w:pPr>
        <w:numPr>
          <w:ilvl w:val="0"/>
          <w:numId w:val="1017"/>
        </w:numPr>
        <w:pStyle w:val="Compact"/>
      </w:pPr>
      <w:r>
        <w:rPr>
          <w:bCs/>
          <w:b/>
        </w:rPr>
        <w:t xml:space="preserve">Strengthen Circular Economy Initiatives:</w:t>
      </w:r>
    </w:p>
    <w:p>
      <w:pPr>
        <w:numPr>
          <w:ilvl w:val="1"/>
          <w:numId w:val="1020"/>
        </w:numPr>
        <w:pStyle w:val="Compact"/>
      </w:pPr>
      <w:r>
        <w:t xml:space="preserve">Leverage the existing</w:t>
      </w:r>
      <w:r>
        <w:t xml:space="preserve"> </w:t>
      </w:r>
      <w:r>
        <w:rPr>
          <w:rStyle w:val="VerbatimChar"/>
        </w:rPr>
        <w:t xml:space="preserve">pvqynnszez</w:t>
      </w:r>
      <w:r>
        <w:t xml:space="preserve"> </w:t>
      </w:r>
      <w:r>
        <w:t xml:space="preserve">(Product take-back and refurbishment program) to maximize product longevity and reusability, beyond just recycling.</w:t>
      </w:r>
    </w:p>
    <w:p>
      <w:pPr>
        <w:numPr>
          <w:ilvl w:val="1"/>
          <w:numId w:val="1020"/>
        </w:numPr>
        <w:pStyle w:val="Compact"/>
      </w:pPr>
      <w:r>
        <w:t xml:space="preserve">Evaluate opportunities to design for easier disassembly and modularity to facilitate repair and part replacement.</w:t>
      </w:r>
    </w:p>
    <w:p>
      <w:pPr>
        <w:numPr>
          <w:ilvl w:val="0"/>
          <w:numId w:val="1017"/>
        </w:numPr>
        <w:pStyle w:val="Compact"/>
      </w:pPr>
      <w:r>
        <w:rPr>
          <w:bCs/>
          <w:b/>
        </w:rPr>
        <w:t xml:space="preserve">Supply Chain Engagement:</w:t>
      </w:r>
    </w:p>
    <w:p>
      <w:pPr>
        <w:numPr>
          <w:ilvl w:val="1"/>
          <w:numId w:val="1021"/>
        </w:numPr>
        <w:pStyle w:val="Compact"/>
      </w:pPr>
      <w:r>
        <w:t xml:space="preserve">Collaborate with key suppliers to encourage their adoption of renewable energy and more efficient manufacturing processes, reducing Scope 3 upstream emissions.</w:t>
      </w:r>
    </w:p>
    <w:p>
      <w:pPr>
        <w:numPr>
          <w:ilvl w:val="1"/>
          <w:numId w:val="1021"/>
        </w:numPr>
        <w:pStyle w:val="Compact"/>
      </w:pPr>
      <w:r>
        <w:t xml:space="preserve">Investigate opportunities for optimizing transport routes and modes to further reduce logistics emissions.</w:t>
      </w:r>
    </w:p>
    <w:p>
      <w:pPr>
        <w:numPr>
          <w:ilvl w:val="0"/>
          <w:numId w:val="1017"/>
        </w:numPr>
        <w:pStyle w:val="Compact"/>
      </w:pPr>
      <w:r>
        <w:rPr>
          <w:bCs/>
          <w:b/>
        </w:rPr>
        <w:t xml:space="preserve">Data Improvement:</w:t>
      </w:r>
    </w:p>
    <w:p>
      <w:pPr>
        <w:numPr>
          <w:ilvl w:val="1"/>
          <w:numId w:val="1022"/>
        </w:numPr>
        <w:pStyle w:val="Compact"/>
      </w:pPr>
      <w:r>
        <w:t xml:space="preserve">Collect more primary data from suppliers across all Scope 3 categories to improve the accuracy and specificity of future PCF assessments, in line with GHG Protocol\'s push for data disaggregation.</w:t>
      </w:r>
    </w:p>
    <w:p>
      <w:pPr>
        <w:numPr>
          <w:ilvl w:val="1"/>
          <w:numId w:val="1022"/>
        </w:numPr>
        <w:pStyle w:val="Compact"/>
      </w:pPr>
      <w:r>
        <w:t xml:space="preserve">For future iterations, gather specific data related to land use and direct carbon removals to fully integrate the 2026 LSR Standard.</w:t>
      </w:r>
    </w:p>
    <w:p>
      <w:r>
        <w:pict>
          <v:rect style="width:0;height:1.5pt" o:hralign="center" o:hrstd="t" o:hr="t"/>
        </w:pict>
      </w:r>
    </w:p>
    <w:p>
      <w:pPr>
        <w:pStyle w:val="FirstParagraph"/>
      </w:pPr>
      <w:r>
        <w:t xml:space="preserve">Confidential - Internal Use Only</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Home Sensor Hub (rwwnzrvfww)</dc:title>
  <dc:creator/>
  <dc:description>Detailed Product Carbon Footprint (PCF) analysis report for rwwnzrvfww (Smart Home Sensor Hub) performed by Senior Sustainability Consultant synwhskjkl for dewihpzhvq, adhering to GHG Protocol standards and 2026 updates.</dc:description>
  <dc:language>en</dc:language>
  <cp:keywords/>
  <dcterms:created xsi:type="dcterms:W3CDTF">2026-07-15T07:41:17Z</dcterms:created>
  <dcterms:modified xsi:type="dcterms:W3CDTF">2026-07-15T07:41:17Z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