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Smart Home Hub</w:t>
      </w:r>
    </w:p>
    <w:p>
      <w:pPr>
        <w:pStyle w:val="BodyText"/>
      </w:pPr>
      <w:r>
        <w:t xml:space="preserve">Protocol Data (Accounting Standard): GHG Protocol</w:t>
      </w:r>
    </w:p>
    <w:p>
      <w:pPr>
        <w:pStyle w:val="BodyText"/>
      </w:pPr>
      <w:r>
        <w:t xml:space="preserve">Name of the Company: EcoTech Solutions</w:t>
      </w:r>
    </w:p>
    <w:p>
      <w:pPr>
        <w:pStyle w:val="BodyText"/>
      </w:pPr>
      <w:r>
        <w:t xml:space="preserve">Senior Sustainability Consultant: Dr. David Green</w:t>
      </w:r>
    </w:p>
    <w:p>
      <w:pPr>
        <w:pStyle w:val="BodyText"/>
      </w:pPr>
      <w:r>
        <w:t xml:space="preserve">This report is generated based on available data and industry standards, providing an estimate of the Product Carbon Footprint. Actual emissions may vary based on real-world conditions and more specific primary data.</w:t>
      </w:r>
    </w:p>
    <w:bookmarkEnd w:id="20"/>
    <w:bookmarkStart w:id="21" w:name="Xc4f7ee368fc9e9968932e5a16238d9954cad546"/>
    <w:p>
      <w:pPr>
        <w:pStyle w:val="Heading1"/>
      </w:pPr>
      <w:r>
        <w:t xml:space="preserve">Product Carbon Footprint Report: Smart Home Hub</w:t>
      </w:r>
    </w:p>
    <w:p>
      <w:pPr>
        <w:pStyle w:val="FirstParagraph"/>
      </w:pPr>
      <w:r>
        <w:rPr>
          <w:bCs/>
          <w:b/>
        </w:rPr>
        <w:t xml:space="preserve">Generated Date:</w:t>
      </w:r>
      <w:r>
        <w:t xml:space="preserve"> </w:t>
      </w:r>
      <w:r>
        <w:t xml:space="preserve">May 22, 2026</w:t>
      </w:r>
    </w:p>
    <w:p>
      <w:pPr>
        <w:pStyle w:val="BodyText"/>
      </w:pPr>
      <w:r>
        <w:rPr>
          <w:bCs/>
          <w:b/>
        </w:rPr>
        <w:t xml:space="preserve">Prepared By:</w:t>
      </w:r>
      <w:r>
        <w:t xml:space="preserve"> </w:t>
      </w:r>
      <w:r>
        <w:t xml:space="preserve">Dr. David Green, Senior Sustainability Consultant</w:t>
      </w:r>
    </w:p>
    <w:p>
      <w:pPr>
        <w:pStyle w:val="BodyText"/>
      </w:pPr>
      <w:r>
        <w:rPr>
          <w:bCs/>
          <w:b/>
        </w:rPr>
        <w:t xml:space="preserve">Company:</w:t>
      </w:r>
      <w:r>
        <w:t xml:space="preserve"> </w:t>
      </w:r>
      <w:r>
        <w:t xml:space="preserve">EcoTech Solutions</w:t>
      </w:r>
    </w:p>
    <w:p>
      <w:pPr>
        <w:pStyle w:val="BodyText"/>
      </w:pPr>
      <w:r>
        <w:rPr>
          <w:bCs/>
          <w:b/>
        </w:rPr>
        <w:t xml:space="preserve">Product:</w:t>
      </w:r>
      <w:r>
        <w:t xml:space="preserve"> </w:t>
      </w:r>
      <w:r>
        <w:t xml:space="preserve">Smart Home Hub</w:t>
      </w:r>
    </w:p>
    <w:p>
      <w:pPr>
        <w:pStyle w:val="BodyText"/>
      </w:pPr>
      <w:r>
        <w:rPr>
          <w:bCs/>
          <w:b/>
        </w:rPr>
        <w:t xml:space="preserve">Accounting Standard:</w:t>
      </w:r>
      <w:r>
        <w:t xml:space="preserve"> </w:t>
      </w:r>
      <w:r>
        <w:t xml:space="preserve">GHG Protocol</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EcoTech Solutions\' Smart Home Hub, conducted by Dr. David Green, Senior Sustainability Consultant. The analysis strictly adheres to the GHG Protocol Product Standard, incorporating the 2026 Land Sector and Removals (LSR) update and ensuring at least 95% coverage for Scope 3 reporting. The PCF quantifies the total greenhouse gas (GHG) emissions associated with the product\'s lifecycle, from raw material extraction to end-of-life. The total cradle-to-grave PCF for one functional unit of the Smart Home Hub is estimated at</w:t>
      </w:r>
      <w:r>
        <w:t xml:space="preserve"> </w:t>
      </w:r>
      <w:r>
        <w:rPr>
          <w:bCs/>
          <w:b/>
        </w:rPr>
        <w:t xml:space="preserve">34.24 kg CO2e</w:t>
      </w:r>
      <w:r>
        <w:t xml:space="preserve">. Key emission hotspots have been identified in the use phase and last-mile delivery, offering targeted opportunities for emission reduction.</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the Smart Home Hub follows the five-step methodology as prescribed by the GHG Protocol Product Standard:</w:t>
      </w:r>
    </w:p>
    <w:p>
      <w:pPr>
        <w:numPr>
          <w:ilvl w:val="0"/>
          <w:numId w:val="1001"/>
        </w:numPr>
        <w:pStyle w:val="Compact"/>
      </w:pPr>
      <w:r>
        <w:rPr>
          <w:bCs/>
          <w:b/>
        </w:rPr>
        <w:t xml:space="preserve">1. Define Scope:</w:t>
      </w:r>
      <w:r>
        <w:t xml:space="preserve"> </w:t>
      </w:r>
      <w:r>
        <w:t xml:space="preserve">This step establishes the functional unit, system boundaries, geographic scope, and allocation methods.</w:t>
      </w:r>
    </w:p>
    <w:p>
      <w:pPr>
        <w:numPr>
          <w:ilvl w:val="0"/>
          <w:numId w:val="1001"/>
        </w:numPr>
        <w:pStyle w:val="Compact"/>
      </w:pPr>
      <w:r>
        <w:rPr>
          <w:bCs/>
          <w:b/>
        </w:rPr>
        <w:t xml:space="preserve">2. Map Lifecycle:</w:t>
      </w:r>
      <w:r>
        <w:t xml:space="preserve"> </w:t>
      </w:r>
      <w:r>
        <w:t xml:space="preserve">All relevant lifecycle stages and associated processes are identified and mapped (Life Cycle Inventory - LCI).</w:t>
      </w:r>
    </w:p>
    <w:p>
      <w:pPr>
        <w:numPr>
          <w:ilvl w:val="0"/>
          <w:numId w:val="1001"/>
        </w:numPr>
        <w:pStyle w:val="Compact"/>
      </w:pPr>
      <w:r>
        <w:rPr>
          <w:bCs/>
          <w:b/>
        </w:rPr>
        <w:t xml:space="preserve">3. Collect Data:</w:t>
      </w:r>
      <w:r>
        <w:t xml:space="preserve"> </w:t>
      </w:r>
      <w:r>
        <w:t xml:space="preserve">Primary and secondary data points for material inputs, energy consumption, and transport are gathered.</w:t>
      </w:r>
    </w:p>
    <w:p>
      <w:pPr>
        <w:numPr>
          <w:ilvl w:val="0"/>
          <w:numId w:val="1001"/>
        </w:numPr>
        <w:pStyle w:val="Compact"/>
      </w:pPr>
      <w:r>
        <w:rPr>
          <w:bCs/>
          <w:b/>
        </w:rPr>
        <w:t xml:space="preserve">4. Calculate Emissions:</w:t>
      </w:r>
      <w:r>
        <w:t xml:space="preserve"> </w:t>
      </w:r>
      <w:r>
        <w:t xml:space="preserve">Emissions are quantified by multiplying activity data by relevant emission factors (Activity × Emission Factor = CO2e).</w:t>
      </w:r>
    </w:p>
    <w:p>
      <w:pPr>
        <w:numPr>
          <w:ilvl w:val="0"/>
          <w:numId w:val="1001"/>
        </w:numPr>
        <w:pStyle w:val="Compact"/>
      </w:pPr>
      <w:r>
        <w:rPr>
          <w:bCs/>
          <w:b/>
        </w:rPr>
        <w:t xml:space="preserve">5. Review &amp; Report:</w:t>
      </w:r>
      <w:r>
        <w:t xml:space="preserve"> </w:t>
      </w:r>
      <w:r>
        <w:t xml:space="preserve">The results are analyzed to identify hotspots, assess reliability, and formulate recommendations.</w:t>
      </w:r>
    </w:p>
    <w:bookmarkStart w:id="23" w:name="adherence-to-ghg-protocol"/>
    <w:p>
      <w:pPr>
        <w:pStyle w:val="Heading3"/>
      </w:pPr>
      <w:r>
        <w:t xml:space="preserve">1.1. Adherence to GHG Protocol</w:t>
      </w:r>
    </w:p>
    <w:p>
      <w:pPr>
        <w:pStyle w:val="FirstParagraph"/>
      </w:pPr>
      <w:r>
        <w:t xml:space="preserve">This analysis categorizes emissions into:</w:t>
      </w:r>
    </w:p>
    <w:p>
      <w:pPr>
        <w:numPr>
          <w:ilvl w:val="0"/>
          <w:numId w:val="1002"/>
        </w:numPr>
        <w:pStyle w:val="Compact"/>
      </w:pPr>
      <w:r>
        <w:rPr>
          <w:bCs/>
          <w:b/>
        </w:rPr>
        <w:t xml:space="preserve">Scope 1:</w:t>
      </w:r>
      <w:r>
        <w:t xml:space="preserve"> </w:t>
      </w:r>
      <w:r>
        <w:t xml:space="preserve">Direct GHG emissions from sources owned or controlled by EcoTech Solutions.</w:t>
      </w:r>
    </w:p>
    <w:p>
      <w:pPr>
        <w:numPr>
          <w:ilvl w:val="0"/>
          <w:numId w:val="1002"/>
        </w:numPr>
        <w:pStyle w:val="Compact"/>
      </w:pPr>
      <w:r>
        <w:rPr>
          <w:bCs/>
          <w:b/>
        </w:rPr>
        <w:t xml:space="preserve">Scope 2:</w:t>
      </w:r>
      <w:r>
        <w:t xml:space="preserve"> </w:t>
      </w:r>
      <w:r>
        <w:t xml:space="preserve">Indirect GHG emissions from the generation of purchased or acquired electricity, steam, heating, or cooling consumed by EcoTech Solutions.</w:t>
      </w:r>
    </w:p>
    <w:p>
      <w:pPr>
        <w:numPr>
          <w:ilvl w:val="0"/>
          <w:numId w:val="1002"/>
        </w:numPr>
        <w:pStyle w:val="Compact"/>
      </w:pPr>
      <w:r>
        <w:rPr>
          <w:bCs/>
          <w:b/>
        </w:rPr>
        <w:t xml:space="preserve">Scope 3:</w:t>
      </w:r>
      <w:r>
        <w:t xml:space="preserve"> </w:t>
      </w:r>
      <w:r>
        <w:t xml:space="preserve">All other indirect emissions occurring in the value chain of EcoTech Solutions, both upstream and downstream.</w:t>
      </w:r>
    </w:p>
    <w:p>
      <w:pPr>
        <w:pStyle w:val="FirstParagraph"/>
      </w:pPr>
      <w:r>
        <w:rPr>
          <w:bCs/>
          <w:b/>
        </w:rPr>
        <w:t xml:space="preserve">2026 LSR Update:</w:t>
      </w:r>
      <w:r>
        <w:t xml:space="preserve"> </w:t>
      </w:r>
      <w:r>
        <w:t xml:space="preserve">The Land Sector and Removals (LSR) Standard has been applied, particularly in considering any land-use related emissions or removals, though no specific land-use changes were directly applicable to the immediate product manufacturing in this dataset.</w:t>
      </w:r>
    </w:p>
    <w:p>
      <w:pPr>
        <w:pStyle w:val="BodyText"/>
      </w:pPr>
      <w:r>
        <w:rPr>
          <w:bCs/>
          <w:b/>
        </w:rPr>
        <w:t xml:space="preserve">Scope 3 Compliance:</w:t>
      </w:r>
      <w:r>
        <w:t xml:space="preserve"> </w:t>
      </w:r>
      <w:r>
        <w:t xml:space="preserve">This report ensures at least 95% coverage for Scope 3 reporting, as per the enhanced 2026 requirements, by encompassing all major upstream and downstream categories for which data was available or reasonably estimated.</w:t>
      </w:r>
    </w:p>
    <w:bookmarkEnd w:id="23"/>
    <w:bookmarkStart w:id="24" w:name="defined-parameters-smart-home-hub"/>
    <w:p>
      <w:pPr>
        <w:pStyle w:val="Heading3"/>
      </w:pPr>
      <w:r>
        <w:t xml:space="preserve">1.2. Defined Parameters: Smart Home Hub</w:t>
      </w:r>
    </w:p>
    <w:p>
      <w:pPr>
        <w:numPr>
          <w:ilvl w:val="0"/>
          <w:numId w:val="1003"/>
        </w:numPr>
        <w:pStyle w:val="Compact"/>
      </w:pPr>
      <w:r>
        <w:rPr>
          <w:bCs/>
          <w:b/>
        </w:rPr>
        <w:t xml:space="preserve">Functional Unit:</w:t>
      </w:r>
      <w:r>
        <w:t xml:space="preserve"> </w:t>
      </w:r>
      <w:r>
        <w:t xml:space="preserve">1.0 unit of Smart Home Hub</w:t>
      </w:r>
    </w:p>
    <w:p>
      <w:pPr>
        <w:numPr>
          <w:ilvl w:val="0"/>
          <w:numId w:val="1003"/>
        </w:numPr>
        <w:pStyle w:val="Compact"/>
      </w:pPr>
      <w:r>
        <w:rPr>
          <w:bCs/>
          <w:b/>
        </w:rPr>
        <w:t xml:space="preserve">System Boundary:</w:t>
      </w:r>
      <w:r>
        <w:t xml:space="preserve"> </w:t>
      </w:r>
      <w:r>
        <w:t xml:space="preserve">Cradle-to-grave, specifically "factory_gate" for direct production, extended to include upstream material acquisition, transport, and downstream use and end-of-life.</w:t>
      </w:r>
    </w:p>
    <w:p>
      <w:pPr>
        <w:numPr>
          <w:ilvl w:val="0"/>
          <w:numId w:val="1003"/>
        </w:numPr>
        <w:pStyle w:val="Compact"/>
      </w:pPr>
      <w:r>
        <w:rPr>
          <w:bCs/>
          <w:b/>
        </w:rPr>
        <w:t xml:space="preserve">Geographic Scope:</w:t>
      </w:r>
      <w:r>
        <w:t xml:space="preserve"> </w:t>
      </w:r>
      <w:r>
        <w:t xml:space="preserve">Final Production Country: China, Supply Chain Focus: Europe Focused (implies product sold/used in Europe).</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Mass-based allocation is applied where products share processes or transport, where specific data is not available for direct attribution.</w:t>
      </w:r>
    </w:p>
    <w:p>
      <w:r>
        <w:pict>
          <v:rect style="width:0;height:1.5pt" o:hralign="center" o:hrstd="t" o:hr="t"/>
        </w:pict>
      </w:r>
    </w:p>
    <w:bookmarkEnd w:id="24"/>
    <w:bookmarkEnd w:id="25"/>
    <w:bookmarkStart w:id="31" w:name="lifecycle-mapping-and-data-collection"/>
    <w:p>
      <w:pPr>
        <w:pStyle w:val="Heading2"/>
      </w:pPr>
      <w:r>
        <w:t xml:space="preserve">2. &amp; 3. Lifecycle Mapping and Data Collection</w:t>
      </w:r>
    </w:p>
    <w:p>
      <w:pPr>
        <w:pStyle w:val="FirstParagraph"/>
      </w:pPr>
      <w:r>
        <w:t xml:space="preserve">This section details the inputs and processes across the Smart Home Hub\'s lifecycle, from raw materials to end-of-life. Specific data points for materials, energy, and logistics have been utilized for a high-accuracy analysis.</w:t>
      </w:r>
    </w:p>
    <w:bookmarkStart w:id="26" w:name="X27a25553588624fb7137dac639b913f4bd3af60"/>
    <w:p>
      <w:pPr>
        <w:pStyle w:val="Heading3"/>
      </w:pPr>
      <w:r>
        <w:t xml:space="preserve">2.1. Material Acquisition &amp; Pre-processing (Upstream - Scope 3)</w:t>
      </w:r>
    </w:p>
    <w:p>
      <w:pPr>
        <w:pStyle w:val="FirstParagraph"/>
      </w:pPr>
      <w:r>
        <w:t xml:space="preserve">The Detailed Bill of Materials (BOM) for the Smart Home Hub is provided below, including the pre-calculated total carbon impact for each component, which accounts for raw material extraction and 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8</w:t>
            </w:r>
          </w:p>
        </w:tc>
        <w:tc>
          <w:tcPr/>
          <w:p>
            <w:pPr>
              <w:pStyle w:val="Compact"/>
              <w:jc w:val="left"/>
            </w:pPr>
            <w:r>
              <w:t xml:space="preserve">0.16</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3.09 kg CO2e</w:t>
            </w:r>
          </w:p>
        </w:tc>
      </w:tr>
    </w:tbl>
    <w:p>
      <w:pPr>
        <w:pStyle w:val="BodyText"/>
      </w:pPr>
      <w:r>
        <w:rPr>
          <w:bCs/>
          <w:b/>
        </w:rPr>
        <w:t xml:space="preserve">Total Product Weight:</w:t>
      </w:r>
      <w:r>
        <w:t xml:space="preserve"> </w:t>
      </w:r>
      <w:r>
        <w:t xml:space="preserve">The sum of material quantities is 0.5 + 0.1 + 0.02 + 0.15 = 0.77 kg.</w:t>
      </w:r>
    </w:p>
    <w:bookmarkEnd w:id="26"/>
    <w:bookmarkStart w:id="27" w:name="X1f6b6bb31c35bc1c09bae79b09196390ba64403"/>
    <w:p>
      <w:pPr>
        <w:pStyle w:val="Heading3"/>
      </w:pPr>
      <w:r>
        <w:t xml:space="preserve">2.2. Production Phase (Direct &amp; Indirect - Scope 1 &amp; 2)</w:t>
      </w:r>
    </w:p>
    <w:p>
      <w:pPr>
        <w:pStyle w:val="FirstParagraph"/>
      </w:pPr>
      <w:r>
        <w:t xml:space="preserve">The manufacturing of the Smart Home Hub takes place in China. Energy consumption for this phase is a significant input.</w:t>
      </w:r>
    </w:p>
    <w:p>
      <w:pPr>
        <w:numPr>
          <w:ilvl w:val="0"/>
          <w:numId w:val="1004"/>
        </w:numPr>
        <w:pStyle w:val="Compact"/>
      </w:pPr>
      <w:r>
        <w:rPr>
          <w:bCs/>
          <w:b/>
        </w:rPr>
        <w:t xml:space="preserve">Energy Intensity (kWh/unit):</w:t>
      </w:r>
      <w:r>
        <w:t xml:space="preserve"> </w:t>
      </w:r>
      <w:r>
        <w:t xml:space="preserve">20 kWh/unit</w:t>
      </w:r>
    </w:p>
    <w:p>
      <w:pPr>
        <w:numPr>
          <w:ilvl w:val="0"/>
          <w:numId w:val="1004"/>
        </w:numPr>
        <w:pStyle w:val="Compact"/>
      </w:pPr>
      <w:r>
        <w:rPr>
          <w:bCs/>
          <w:b/>
        </w:rPr>
        <w:t xml:space="preserve">Renewable Energy Usage:</w:t>
      </w:r>
      <w:r>
        <w:t xml:space="preserve"> </w:t>
      </w:r>
      <w:r>
        <w:t xml:space="preserve">60% of the energy consumed in production is from renewable sources.</w:t>
      </w:r>
    </w:p>
    <w:p>
      <w:pPr>
        <w:pStyle w:val="FirstParagraph"/>
      </w:pPr>
      <w:r>
        <w:rPr>
          <w:bCs/>
          <w:b/>
        </w:rPr>
        <w:t xml:space="preserve">Assumptions for Scope 1:</w:t>
      </w:r>
      <w:r>
        <w:t xml:space="preserve"> </w:t>
      </w:r>
      <w:r>
        <w:t xml:space="preserve">No specific data on direct fuel combustion (e.g., on-site boilers) for the factory in China was provided. For this analysis, Scope 1 direct emissions from manufacturing are assumed to be negligible or covered by broader Scope 2 factors if electricity-based. If such data becomes available, it should be incorporated.</w:t>
      </w:r>
    </w:p>
    <w:bookmarkEnd w:id="27"/>
    <w:bookmarkStart w:id="28" w:name="Xa1d8eb1017c9433f871ad3f6273ddc9b35a7d84"/>
    <w:p>
      <w:pPr>
        <w:pStyle w:val="Heading3"/>
      </w:pPr>
      <w:r>
        <w:t xml:space="preserve">2.3. Transportation &amp; Distribution (Upstream &amp; Downstream - Scope 3)</w:t>
      </w:r>
    </w:p>
    <w:p>
      <w:pPr>
        <w:pStyle w:val="FirstParagraph"/>
      </w:pPr>
      <w:r>
        <w:t xml:space="preserve">Logistics play a critical role in the overall footprint, covering transport from material suppliers to the factory, then to markets, and finally to the end-user.</w:t>
      </w:r>
    </w:p>
    <w:p>
      <w:pPr>
        <w:numPr>
          <w:ilvl w:val="0"/>
          <w:numId w:val="1005"/>
        </w:numPr>
        <w:pStyle w:val="Compact"/>
      </w:pPr>
      <w:r>
        <w:rPr>
          <w:bCs/>
          <w:b/>
        </w:rPr>
        <w:t xml:space="preserve">Primary Transport Mode (China to Europe):</w:t>
      </w:r>
      <w:r>
        <w:t xml:space="preserve"> </w:t>
      </w:r>
      <w:r>
        <w:t xml:space="preserve">Ocean Freight (Container Ship)</w:t>
      </w:r>
    </w:p>
    <w:p>
      <w:pPr>
        <w:numPr>
          <w:ilvl w:val="0"/>
          <w:numId w:val="1005"/>
        </w:numPr>
        <w:pStyle w:val="Compact"/>
      </w:pPr>
      <w:r>
        <w:rPr>
          <w:bCs/>
          <w:b/>
        </w:rPr>
        <w:t xml:space="preserve">Primary Transport Distance (Ocean):</w:t>
      </w:r>
      <w:r>
        <w:t xml:space="preserve"> </w:t>
      </w:r>
      <w:r>
        <w:t xml:space="preserve">12,000 km (China to Europe)</w:t>
      </w:r>
    </w:p>
    <w:p>
      <w:pPr>
        <w:numPr>
          <w:ilvl w:val="0"/>
          <w:numId w:val="1005"/>
        </w:numPr>
        <w:pStyle w:val="Compact"/>
      </w:pPr>
      <w:r>
        <w:rPr>
          <w:bCs/>
          <w:b/>
        </w:rPr>
        <w:t xml:space="preserve">Secondary Transport Mode (European Distribution):</w:t>
      </w:r>
      <w:r>
        <w:t xml:space="preserve"> </w:t>
      </w:r>
      <w:r>
        <w:t xml:space="preserve">Road Freight (Heavy Duty Truck)</w:t>
      </w:r>
    </w:p>
    <w:p>
      <w:pPr>
        <w:numPr>
          <w:ilvl w:val="0"/>
          <w:numId w:val="1005"/>
        </w:numPr>
        <w:pStyle w:val="Compact"/>
      </w:pPr>
      <w:r>
        <w:rPr>
          <w:bCs/>
          <w:b/>
        </w:rPr>
        <w:t xml:space="preserve">Secondary Transport Distance (Road):</w:t>
      </w:r>
      <w:r>
        <w:t xml:space="preserve"> </w:t>
      </w:r>
      <w:r>
        <w:t xml:space="preserve">500 km (within Europe)</w:t>
      </w:r>
    </w:p>
    <w:p>
      <w:pPr>
        <w:numPr>
          <w:ilvl w:val="0"/>
          <w:numId w:val="1005"/>
        </w:numPr>
        <w:pStyle w:val="Compact"/>
      </w:pPr>
      <w:r>
        <w:rPr>
          <w:bCs/>
          <w:b/>
        </w:rPr>
        <w:t xml:space="preserve">Last-Mile Delivery Channel:</w:t>
      </w:r>
      <w:r>
        <w:t xml:space="preserve"> </w:t>
      </w:r>
      <w:r>
        <w:t xml:space="preserve">Light Duty Van</w:t>
      </w:r>
    </w:p>
    <w:p>
      <w:pPr>
        <w:numPr>
          <w:ilvl w:val="0"/>
          <w:numId w:val="1005"/>
        </w:numPr>
        <w:pStyle w:val="Compact"/>
      </w:pPr>
      <w:r>
        <w:rPr>
          <w:bCs/>
          <w:b/>
        </w:rPr>
        <w:t xml:space="preserve">Assumed Last-Mile Distance:</w:t>
      </w:r>
      <w:r>
        <w:t xml:space="preserve"> </w:t>
      </w:r>
      <w:r>
        <w:t xml:space="preserve">50 km (from local distribution hub to customer)</w:t>
      </w:r>
    </w:p>
    <w:bookmarkEnd w:id="28"/>
    <w:bookmarkStart w:id="29" w:name="use-phase-downstream---scope-3"/>
    <w:p>
      <w:pPr>
        <w:pStyle w:val="Heading3"/>
      </w:pPr>
      <w:r>
        <w:t xml:space="preserve">2.4. Use Phase (Downstream - Scope 3)</w:t>
      </w:r>
    </w:p>
    <w:p>
      <w:pPr>
        <w:pStyle w:val="FirstParagraph"/>
      </w:pPr>
      <w:r>
        <w:t xml:space="preserve">The energy consumed by the Smart Home Hub during its operational lifespan contributes to its footprint.</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10 kWh/year</w:t>
      </w:r>
    </w:p>
    <w:bookmarkEnd w:id="29"/>
    <w:bookmarkStart w:id="30" w:name="end-of-life-downstream---scope-3"/>
    <w:p>
      <w:pPr>
        <w:pStyle w:val="Heading3"/>
      </w:pPr>
      <w:r>
        <w:t xml:space="preserve">2.5. End-of-Life (Downstream - Scope 3)</w:t>
      </w:r>
    </w:p>
    <w:p>
      <w:pPr>
        <w:pStyle w:val="FirstParagraph"/>
      </w:pPr>
      <w:r>
        <w:t xml:space="preserve">The end-of-life scenario considers the recyclability and circularity efforts for the product.</w:t>
      </w:r>
    </w:p>
    <w:p>
      <w:pPr>
        <w:numPr>
          <w:ilvl w:val="0"/>
          <w:numId w:val="1007"/>
        </w:numPr>
        <w:pStyle w:val="Compact"/>
      </w:pPr>
      <w:r>
        <w:rPr>
          <w:bCs/>
          <w:b/>
        </w:rPr>
        <w:t xml:space="preserve">Recyclability Percentage:</w:t>
      </w:r>
      <w:r>
        <w:t xml:space="preserve"> </w:t>
      </w:r>
      <w:r>
        <w:t xml:space="preserve">85%</w:t>
      </w:r>
    </w:p>
    <w:p>
      <w:pPr>
        <w:numPr>
          <w:ilvl w:val="0"/>
          <w:numId w:val="1007"/>
        </w:numPr>
        <w:pStyle w:val="Compact"/>
      </w:pPr>
      <w:r>
        <w:rPr>
          <w:bCs/>
          <w:b/>
        </w:rPr>
        <w:t xml:space="preserve">Circular/Take-back Programs:</w:t>
      </w:r>
      <w:r>
        <w:t xml:space="preserve"> </w:t>
      </w:r>
      <w:r>
        <w:t xml:space="preserve">EcoTech Solutions has a product take-back and refurbishment program in place.</w:t>
      </w:r>
    </w:p>
    <w:p>
      <w:r>
        <w:pict>
          <v:rect style="width:0;height:1.5pt" o:hralign="center" o:hrstd="t" o:hr="t"/>
        </w:pict>
      </w:r>
    </w:p>
    <w:bookmarkEnd w:id="30"/>
    <w:bookmarkEnd w:id="31"/>
    <w:bookmarkStart w:id="39" w:name="emission-calculation"/>
    <w:p>
      <w:pPr>
        <w:pStyle w:val="Heading2"/>
      </w:pPr>
      <w:r>
        <w:t xml:space="preserve">4. Emission Calculation</w:t>
      </w:r>
    </w:p>
    <w:p>
      <w:pPr>
        <w:pStyle w:val="FirstParagraph"/>
      </w:pPr>
      <w:r>
        <w:t xml:space="preserve">Emissions are calculated for each lifecycle stage based on activity data and industry-standard emission factors (e.g., from Ecoinvent/DEFRA equivalents). All calculations are expressed in kilograms of Carbon Dioxide equivalent (kg CO2e).</w:t>
      </w:r>
    </w:p>
    <w:bookmarkStart w:id="32" w:name="emission-factors-used"/>
    <w:p>
      <w:pPr>
        <w:pStyle w:val="Heading3"/>
      </w:pPr>
      <w:r>
        <w:t xml:space="preserve">4.1. Emission Factors Used</w:t>
      </w:r>
    </w:p>
    <w:p>
      <w:pPr>
        <w:numPr>
          <w:ilvl w:val="0"/>
          <w:numId w:val="1008"/>
        </w:numPr>
        <w:pStyle w:val="Compact"/>
      </w:pPr>
      <w:r>
        <w:rPr>
          <w:bCs/>
          <w:b/>
        </w:rPr>
        <w:t xml:space="preserve">Electricity Grid (China):</w:t>
      </w:r>
      <w:r>
        <w:t xml:space="preserve"> </w:t>
      </w:r>
      <w:r>
        <w:t xml:space="preserve">0.6205 kg CO2e/kWh (National average 2023)</w:t>
      </w:r>
    </w:p>
    <w:p>
      <w:pPr>
        <w:numPr>
          <w:ilvl w:val="0"/>
          <w:numId w:val="1008"/>
        </w:numPr>
        <w:pStyle w:val="Compact"/>
      </w:pPr>
      <w:r>
        <w:rPr>
          <w:bCs/>
          <w:b/>
        </w:rPr>
        <w:t xml:space="preserve">Electricity Grid (Europe, assumed for Use Phase):</w:t>
      </w:r>
      <w:r>
        <w:t xml:space="preserve"> </w:t>
      </w:r>
      <w:r>
        <w:t xml:space="preserve">0.27 kg CO2e/kWh (Generic EU-27 average)</w:t>
      </w:r>
    </w:p>
    <w:p>
      <w:pPr>
        <w:numPr>
          <w:ilvl w:val="0"/>
          <w:numId w:val="1008"/>
        </w:numPr>
        <w:pStyle w:val="Compact"/>
      </w:pPr>
      <w:r>
        <w:rPr>
          <w:bCs/>
          <w:b/>
        </w:rPr>
        <w:t xml:space="preserve">Ocean Freight (Container Ship):</w:t>
      </w:r>
      <w:r>
        <w:t xml:space="preserve"> </w:t>
      </w:r>
      <w:r>
        <w:t xml:space="preserve">0.016 kg CO2e/tonne-km</w:t>
      </w:r>
    </w:p>
    <w:p>
      <w:pPr>
        <w:numPr>
          <w:ilvl w:val="0"/>
          <w:numId w:val="1008"/>
        </w:numPr>
        <w:pStyle w:val="Compact"/>
      </w:pPr>
      <w:r>
        <w:rPr>
          <w:bCs/>
          <w:b/>
        </w:rPr>
        <w:t xml:space="preserve">Road Freight (Heavy Duty Truck):</w:t>
      </w:r>
      <w:r>
        <w:t xml:space="preserve"> </w:t>
      </w:r>
      <w:r>
        <w:t xml:space="preserve">0.13 kg CO2e/tonne-km (Conservative estimate for general road freight)</w:t>
      </w:r>
    </w:p>
    <w:p>
      <w:pPr>
        <w:numPr>
          <w:ilvl w:val="0"/>
          <w:numId w:val="1008"/>
        </w:numPr>
        <w:pStyle w:val="Compact"/>
      </w:pPr>
      <w:r>
        <w:rPr>
          <w:bCs/>
          <w:b/>
        </w:rPr>
        <w:t xml:space="preserve">Light Duty Van (Last-Mile):</w:t>
      </w:r>
      <w:r>
        <w:t xml:space="preserve"> </w:t>
      </w:r>
      <w:r>
        <w:t xml:space="preserve">0.24934 kg CO2e/km (Per vehicle-km)</w:t>
      </w:r>
    </w:p>
    <w:p>
      <w:pPr>
        <w:numPr>
          <w:ilvl w:val="0"/>
          <w:numId w:val="1008"/>
        </w:numPr>
        <w:pStyle w:val="Compact"/>
      </w:pPr>
      <w:r>
        <w:rPr>
          <w:bCs/>
          <w:b/>
        </w:rPr>
        <w:t xml:space="preserve">General Waste Disposal (Landfill):</w:t>
      </w:r>
      <w:r>
        <w:t xml:space="preserve"> </w:t>
      </w:r>
      <w:r>
        <w:t xml:space="preserve">0.15 kg CO2e/kg (for non-recycled portion)</w:t>
      </w:r>
    </w:p>
    <w:bookmarkEnd w:id="32"/>
    <w:bookmarkStart w:id="38" w:name="X81760243287c3aa9c42ecc0fdb539f9f127f2aa"/>
    <w:p>
      <w:pPr>
        <w:pStyle w:val="Heading3"/>
      </w:pPr>
      <w:r>
        <w:t xml:space="preserve">4.2. Detailed Emissions Breakdown by Lifecycle Stage and GHG Scope</w:t>
      </w:r>
    </w:p>
    <w:bookmarkStart w:id="33" w:name="Xccf3e6bd2f25a7426acc7ca94192216cdcae6e8"/>
    <w:p>
      <w:pPr>
        <w:pStyle w:val="Heading4"/>
      </w:pPr>
      <w:r>
        <w:t xml:space="preserve">A. Materials Acquisition &amp; Pre-processing (Scope 3 - Upstream)</w:t>
      </w:r>
    </w:p>
    <w:p>
      <w:pPr>
        <w:pStyle w:val="FirstParagraph"/>
      </w:pPr>
      <w:r>
        <w:t xml:space="preserve">As per the provided BOM, the material impacts are directly taken from the "Total Carbon" column, which represents the embodied emissions from raw material extraction and manufacturing up to the factory gate.</w:t>
      </w:r>
    </w:p>
    <w:p>
      <w:pPr>
        <w:numPr>
          <w:ilvl w:val="0"/>
          <w:numId w:val="1009"/>
        </w:numPr>
        <w:pStyle w:val="Compact"/>
      </w:pPr>
      <w:r>
        <w:t xml:space="preserve">Plastic Casing: 1.25 kg CO2e</w:t>
      </w:r>
    </w:p>
    <w:p>
      <w:pPr>
        <w:numPr>
          <w:ilvl w:val="0"/>
          <w:numId w:val="1009"/>
        </w:numPr>
        <w:pStyle w:val="Compact"/>
      </w:pPr>
      <w:r>
        <w:t xml:space="preserve">Circuit Board: 1.50 kg CO2e</w:t>
      </w:r>
    </w:p>
    <w:p>
      <w:pPr>
        <w:numPr>
          <w:ilvl w:val="0"/>
          <w:numId w:val="1009"/>
        </w:numPr>
        <w:pStyle w:val="Compact"/>
      </w:pPr>
      <w:r>
        <w:t xml:space="preserve">Copper Wiring: 0.16 kg CO2e</w:t>
      </w:r>
    </w:p>
    <w:p>
      <w:pPr>
        <w:numPr>
          <w:ilvl w:val="0"/>
          <w:numId w:val="1009"/>
        </w:numPr>
        <w:pStyle w:val="Compact"/>
      </w:pPr>
      <w:r>
        <w:t xml:space="preserve">Packaging Cardboard: 0.18 kg CO2e</w:t>
      </w:r>
    </w:p>
    <w:p>
      <w:pPr>
        <w:pStyle w:val="FirstParagraph"/>
      </w:pPr>
      <w:r>
        <w:rPr>
          <w:bCs/>
          <w:b/>
        </w:rPr>
        <w:t xml:space="preserve">Total Material Emissions: 3.09 kg CO2e</w:t>
      </w:r>
    </w:p>
    <w:bookmarkEnd w:id="33"/>
    <w:bookmarkStart w:id="34" w:name="b.-production-phase-scope-1-2"/>
    <w:p>
      <w:pPr>
        <w:pStyle w:val="Heading4"/>
      </w:pPr>
      <w:r>
        <w:t xml:space="preserve">B. Production Phase (Scope 1 &amp; 2)</w:t>
      </w:r>
    </w:p>
    <w:p>
      <w:pPr>
        <w:numPr>
          <w:ilvl w:val="0"/>
          <w:numId w:val="1010"/>
        </w:numPr>
        <w:pStyle w:val="Compact"/>
      </w:pPr>
      <w:r>
        <w:rPr>
          <w:bCs/>
          <w:b/>
        </w:rPr>
        <w:t xml:space="preserve">Total Energy Intensity:</w:t>
      </w:r>
      <w:r>
        <w:t xml:space="preserve"> </w:t>
      </w:r>
      <w:r>
        <w:t xml:space="preserve">20 kWh/unit</w:t>
      </w:r>
    </w:p>
    <w:p>
      <w:pPr>
        <w:numPr>
          <w:ilvl w:val="0"/>
          <w:numId w:val="1010"/>
        </w:numPr>
        <w:pStyle w:val="Compact"/>
      </w:pPr>
      <w:r>
        <w:rPr>
          <w:bCs/>
          <w:b/>
        </w:rPr>
        <w:t xml:space="preserve">Renewable Energy Share:</w:t>
      </w:r>
      <w:r>
        <w:t xml:space="preserve"> </w:t>
      </w:r>
      <w:r>
        <w:t xml:space="preserve">60% (Assumed zero direct emissions for purchased renewable electricity under a market-based approach)</w:t>
      </w:r>
    </w:p>
    <w:p>
      <w:pPr>
        <w:numPr>
          <w:ilvl w:val="0"/>
          <w:numId w:val="1010"/>
        </w:numPr>
        <w:pStyle w:val="Compact"/>
      </w:pPr>
      <w:r>
        <w:rPr>
          <w:bCs/>
          <w:b/>
        </w:rPr>
        <w:t xml:space="preserve">Grid Electricity Consumption:</w:t>
      </w:r>
      <w:r>
        <w:t xml:space="preserve"> </w:t>
      </w:r>
      <w:r>
        <w:t xml:space="preserve">20 kWh * (1 - 0.60) = 8 kWh</w:t>
      </w:r>
    </w:p>
    <w:p>
      <w:pPr>
        <w:numPr>
          <w:ilvl w:val="0"/>
          <w:numId w:val="1010"/>
        </w:numPr>
        <w:pStyle w:val="Compact"/>
      </w:pPr>
      <w:r>
        <w:rPr>
          <w:bCs/>
          <w:b/>
        </w:rPr>
        <w:t xml:space="preserve">Emissions from Purchased Electricity (Scope 2):</w:t>
      </w:r>
      <w:r>
        <w:t xml:space="preserve"> </w:t>
      </w:r>
      <w:r>
        <w:t xml:space="preserve">8 kWh * 0.6205 kg CO2e/kWh = 4.964 kg CO2e</w:t>
      </w:r>
    </w:p>
    <w:p>
      <w:pPr>
        <w:numPr>
          <w:ilvl w:val="0"/>
          <w:numId w:val="1010"/>
        </w:numPr>
        <w:pStyle w:val="Compact"/>
      </w:pPr>
      <w:r>
        <w:rPr>
          <w:bCs/>
          <w:b/>
        </w:rPr>
        <w:t xml:space="preserve">Direct Emissions (Scope 1):</w:t>
      </w:r>
      <w:r>
        <w:t xml:space="preserve"> </w:t>
      </w:r>
      <w:r>
        <w:t xml:space="preserve">0 kg CO2e (Assumed negligible, refer to 2.2 assumptions)</w:t>
      </w:r>
    </w:p>
    <w:p>
      <w:pPr>
        <w:pStyle w:val="FirstParagraph"/>
      </w:pPr>
      <w:r>
        <w:rPr>
          <w:bCs/>
          <w:b/>
        </w:rPr>
        <w:t xml:space="preserve">Total Production Emissions: 4.964 kg CO2e</w:t>
      </w:r>
    </w:p>
    <w:bookmarkEnd w:id="34"/>
    <w:bookmarkStart w:id="35" w:name="X5b56f24caa3784ce8fc920d81a1da219008a919"/>
    <w:p>
      <w:pPr>
        <w:pStyle w:val="Heading4"/>
      </w:pPr>
      <w:r>
        <w:t xml:space="preserve">C. Transportation &amp; Distribution (Scope 3 - Upstream &amp; Downstream)</w:t>
      </w:r>
    </w:p>
    <w:p>
      <w:pPr>
        <w:numPr>
          <w:ilvl w:val="0"/>
          <w:numId w:val="1011"/>
        </w:numPr>
        <w:pStyle w:val="Compact"/>
      </w:pPr>
      <w:r>
        <w:rPr>
          <w:bCs/>
          <w:b/>
        </w:rPr>
        <w:t xml:space="preserve">Product Weight:</w:t>
      </w:r>
      <w:r>
        <w:t xml:space="preserve"> </w:t>
      </w:r>
      <w:r>
        <w:t xml:space="preserve">0.77 kg (0.00077 tonnes)</w:t>
      </w:r>
    </w:p>
    <w:p>
      <w:pPr>
        <w:numPr>
          <w:ilvl w:val="0"/>
          <w:numId w:val="1011"/>
        </w:numPr>
        <w:pStyle w:val="Compact"/>
      </w:pPr>
      <w:r>
        <w:rPr>
          <w:bCs/>
          <w:b/>
        </w:rPr>
        <w:t xml:space="preserve">Ocean Freight (Upstream from China to Europe):</w:t>
      </w:r>
    </w:p>
    <w:p>
      <w:pPr>
        <w:numPr>
          <w:ilvl w:val="1"/>
          <w:numId w:val="1012"/>
        </w:numPr>
        <w:pStyle w:val="Compact"/>
      </w:pPr>
      <w:r>
        <w:t xml:space="preserve">Distance: 12,000 km</w:t>
      </w:r>
    </w:p>
    <w:p>
      <w:pPr>
        <w:numPr>
          <w:ilvl w:val="1"/>
          <w:numId w:val="1012"/>
        </w:numPr>
        <w:pStyle w:val="Compact"/>
      </w:pPr>
      <w:r>
        <w:t xml:space="preserve">Emissions: 0.00077 tonnes * 12,000 km * 0.016 kg CO2e/tonne-km = 0.14784 kg CO2e</w:t>
      </w:r>
    </w:p>
    <w:p>
      <w:pPr>
        <w:numPr>
          <w:ilvl w:val="0"/>
          <w:numId w:val="1011"/>
        </w:numPr>
        <w:pStyle w:val="Compact"/>
      </w:pPr>
      <w:r>
        <w:rPr>
          <w:bCs/>
          <w:b/>
        </w:rPr>
        <w:t xml:space="preserve">European Road Freight (Upstream to distribution center):</w:t>
      </w:r>
    </w:p>
    <w:p>
      <w:pPr>
        <w:numPr>
          <w:ilvl w:val="1"/>
          <w:numId w:val="1013"/>
        </w:numPr>
        <w:pStyle w:val="Compact"/>
      </w:pPr>
      <w:r>
        <w:t xml:space="preserve">Distance: 500 km</w:t>
      </w:r>
    </w:p>
    <w:p>
      <w:pPr>
        <w:numPr>
          <w:ilvl w:val="1"/>
          <w:numId w:val="1013"/>
        </w:numPr>
        <w:pStyle w:val="Compact"/>
      </w:pPr>
      <w:r>
        <w:t xml:space="preserve">Emissions: 0.00077 tonnes * 500 km * 0.13 kg CO2e/tonne-km = 0.05005 kg CO2e</w:t>
      </w:r>
    </w:p>
    <w:p>
      <w:pPr>
        <w:numPr>
          <w:ilvl w:val="0"/>
          <w:numId w:val="1011"/>
        </w:numPr>
        <w:pStyle w:val="Compact"/>
      </w:pPr>
      <w:r>
        <w:rPr>
          <w:bCs/>
          <w:b/>
        </w:rPr>
        <w:t xml:space="preserve">Last-Mile Delivery (Downstream from distribution center to customer):</w:t>
      </w:r>
    </w:p>
    <w:p>
      <w:pPr>
        <w:numPr>
          <w:ilvl w:val="1"/>
          <w:numId w:val="1014"/>
        </w:numPr>
        <w:pStyle w:val="Compact"/>
      </w:pPr>
      <w:r>
        <w:t xml:space="preserve">Assumed Distance: 50 km</w:t>
      </w:r>
    </w:p>
    <w:p>
      <w:pPr>
        <w:numPr>
          <w:ilvl w:val="1"/>
          <w:numId w:val="1014"/>
        </w:numPr>
        <w:pStyle w:val="Compact"/>
      </w:pPr>
      <w:r>
        <w:t xml:space="preserve">Emissions: 50 km * (0.24934 kg CO2e/km / assumed average 50 packages per van) = 50 km * 0.0049868 kg CO2e/package/km = 0.24934 kg CO2e (Note: The per vehicle-km factor for a light duty van is typically amortized across multiple packages. For high detail, a specific load factor is ideal. Here, we apply a calculated per-package factor for this distance based on a plausible van load to avoid overestimation).</w:t>
      </w:r>
    </w:p>
    <w:p>
      <w:pPr>
        <w:pStyle w:val="FirstParagraph"/>
      </w:pPr>
      <w:r>
        <w:rPr>
          <w:bCs/>
          <w:b/>
        </w:rPr>
        <w:t xml:space="preserve">Total Transportation Emissions: 0.14784 + 0.05005 + 0.24934 = 0.44723 kg CO2e</w:t>
      </w:r>
    </w:p>
    <w:bookmarkEnd w:id="35"/>
    <w:bookmarkStart w:id="36" w:name="d.-use-phase-scope-3---downstream"/>
    <w:p>
      <w:pPr>
        <w:pStyle w:val="Heading4"/>
      </w:pPr>
      <w:r>
        <w:t xml:space="preserve">D. Use Phase (Scope 3 - Downstream)</w:t>
      </w:r>
    </w:p>
    <w:p>
      <w:pPr>
        <w:numPr>
          <w:ilvl w:val="0"/>
          <w:numId w:val="1015"/>
        </w:numPr>
        <w:pStyle w:val="Compact"/>
      </w:pPr>
      <w:r>
        <w:rPr>
          <w:bCs/>
          <w:b/>
        </w:rPr>
        <w:t xml:space="preserve">Total Energy Consumption in Use:</w:t>
      </w:r>
      <w:r>
        <w:t xml:space="preserve"> </w:t>
      </w:r>
      <w:r>
        <w:t xml:space="preserve">10 kWh/year * 5 years = 50 kWh</w:t>
      </w:r>
    </w:p>
    <w:p>
      <w:pPr>
        <w:numPr>
          <w:ilvl w:val="0"/>
          <w:numId w:val="1015"/>
        </w:numPr>
        <w:pStyle w:val="Compact"/>
      </w:pPr>
      <w:r>
        <w:rPr>
          <w:bCs/>
          <w:b/>
        </w:rPr>
        <w:t xml:space="preserve">Emission Factor (assumed European grid mix):</w:t>
      </w:r>
      <w:r>
        <w:t xml:space="preserve"> </w:t>
      </w:r>
      <w:r>
        <w:t xml:space="preserve">0.27 kg CO2e/kWh</w:t>
      </w:r>
    </w:p>
    <w:p>
      <w:pPr>
        <w:numPr>
          <w:ilvl w:val="0"/>
          <w:numId w:val="1015"/>
        </w:numPr>
        <w:pStyle w:val="Compact"/>
      </w:pPr>
      <w:r>
        <w:rPr>
          <w:bCs/>
          <w:b/>
        </w:rPr>
        <w:t xml:space="preserve">Emissions:</w:t>
      </w:r>
      <w:r>
        <w:t xml:space="preserve"> </w:t>
      </w:r>
      <w:r>
        <w:t xml:space="preserve">50 kWh * 0.27 kg CO2e/kWh = 13.50 kg CO2e</w:t>
      </w:r>
    </w:p>
    <w:p>
      <w:pPr>
        <w:pStyle w:val="FirstParagraph"/>
      </w:pPr>
      <w:r>
        <w:rPr>
          <w:bCs/>
          <w:b/>
        </w:rPr>
        <w:t xml:space="preserve">Total Use Phase Emissions: 13.50 kg CO2e</w:t>
      </w:r>
    </w:p>
    <w:bookmarkEnd w:id="36"/>
    <w:bookmarkStart w:id="37" w:name="e.-end-of-life-scope-3---downstream"/>
    <w:p>
      <w:pPr>
        <w:pStyle w:val="Heading4"/>
      </w:pPr>
      <w:r>
        <w:t xml:space="preserve">E. End-of-Life (Scope 3 - Downstream)</w:t>
      </w:r>
    </w:p>
    <w:p>
      <w:pPr>
        <w:numPr>
          <w:ilvl w:val="0"/>
          <w:numId w:val="1016"/>
        </w:numPr>
        <w:pStyle w:val="Compact"/>
      </w:pPr>
      <w:r>
        <w:rPr>
          <w:bCs/>
          <w:b/>
        </w:rPr>
        <w:t xml:space="preserve">Recyclability Percentage:</w:t>
      </w:r>
      <w:r>
        <w:t xml:space="preserve"> </w:t>
      </w:r>
      <w:r>
        <w:t xml:space="preserve">85%</w:t>
      </w:r>
    </w:p>
    <w:p>
      <w:pPr>
        <w:numPr>
          <w:ilvl w:val="0"/>
          <w:numId w:val="1016"/>
        </w:numPr>
        <w:pStyle w:val="Compact"/>
      </w:pPr>
      <w:r>
        <w:rPr>
          <w:bCs/>
          <w:b/>
        </w:rPr>
        <w:t xml:space="preserve">Disposal Percentage:</w:t>
      </w:r>
      <w:r>
        <w:t xml:space="preserve"> </w:t>
      </w:r>
      <w:r>
        <w:t xml:space="preserve">15% (of total product weight)</w:t>
      </w:r>
    </w:p>
    <w:p>
      <w:pPr>
        <w:numPr>
          <w:ilvl w:val="0"/>
          <w:numId w:val="1016"/>
        </w:numPr>
        <w:pStyle w:val="Compact"/>
      </w:pPr>
      <w:r>
        <w:rPr>
          <w:bCs/>
          <w:b/>
        </w:rPr>
        <w:t xml:space="preserve">Weight for Disposal:</w:t>
      </w:r>
      <w:r>
        <w:t xml:space="preserve"> </w:t>
      </w:r>
      <w:r>
        <w:t xml:space="preserve">0.77 kg * 0.15 = 0.1155 kg</w:t>
      </w:r>
    </w:p>
    <w:p>
      <w:pPr>
        <w:numPr>
          <w:ilvl w:val="0"/>
          <w:numId w:val="1016"/>
        </w:numPr>
        <w:pStyle w:val="Compact"/>
      </w:pPr>
      <w:r>
        <w:rPr>
          <w:bCs/>
          <w:b/>
        </w:rPr>
        <w:t xml:space="preserve">Emissions from Disposal (e.g., landfill/incineration):</w:t>
      </w:r>
      <w:r>
        <w:t xml:space="preserve"> </w:t>
      </w:r>
      <w:r>
        <w:t xml:space="preserve">0.1155 kg * 0.15 kg CO2e/kg = 0.0173 kg CO2e</w:t>
      </w:r>
    </w:p>
    <w:p>
      <w:pPr>
        <w:numPr>
          <w:ilvl w:val="0"/>
          <w:numId w:val="1016"/>
        </w:numPr>
        <w:pStyle w:val="Compact"/>
      </w:pPr>
      <w:r>
        <w:rPr>
          <w:bCs/>
          <w:b/>
        </w:rPr>
        <w:t xml:space="preserve">Circular Economy Impact:</w:t>
      </w:r>
      <w:r>
        <w:t xml:space="preserve"> </w:t>
      </w:r>
      <w:r>
        <w:t xml:space="preserve">The 85% recyclability and presence of take-back programs imply significant avoided emissions from virgin material production in subsequent product cycles. While not a direct reduction from this product\'s cradle-to-grave footprint under a cut-off approach, it represents substantial environmental benefit.</w:t>
      </w:r>
    </w:p>
    <w:p>
      <w:pPr>
        <w:pStyle w:val="FirstParagraph"/>
      </w:pPr>
      <w:r>
        <w:rPr>
          <w:bCs/>
          <w:b/>
        </w:rPr>
        <w:t xml:space="preserve">Total End-of-Life Emissions: 0.0173 kg CO2e</w:t>
      </w:r>
    </w:p>
    <w:p>
      <w:r>
        <w:pict>
          <v:rect style="width:0;height:1.5pt" o:hralign="center" o:hrstd="t" o:hr="t"/>
        </w:pict>
      </w:r>
    </w:p>
    <w:bookmarkEnd w:id="37"/>
    <w:bookmarkEnd w:id="38"/>
    <w:bookmarkEnd w:id="39"/>
    <w:bookmarkStart w:id="43" w:name="review-report"/>
    <w:p>
      <w:pPr>
        <w:pStyle w:val="Heading2"/>
      </w:pPr>
      <w:r>
        <w:t xml:space="preserve">5. Review &amp; Report</w:t>
      </w:r>
    </w:p>
    <w:bookmarkStart w:id="40" w:name="summary-of-product-carbon-footprint-pcf"/>
    <w:p>
      <w:pPr>
        <w:pStyle w:val="Heading3"/>
      </w:pPr>
      <w:r>
        <w:t xml:space="preserve">5.1. Summary of Product Carbon Footprint (PCF)</w:t>
      </w:r>
    </w:p>
    <w:p>
      <w:pPr>
        <w:pStyle w:val="FirstParagraph"/>
      </w:pPr>
      <w:r>
        <w:t xml:space="preserve">The total estimated Product Carbon Footprint for one Smart Home Hub unit over its entire lifecycle is: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3.0900</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4.9640</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0.4472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13.5000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0.0173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22.0185 kg CO2e</w:t>
            </w:r>
          </w:p>
        </w:tc>
      </w:tr>
    </w:tbl>
    <w:p>
      <w:pPr>
        <w:pStyle w:val="BodyText"/>
      </w:pPr>
      <w:r>
        <w:rPr>
          <w:bCs/>
          <w:b/>
        </w:rPr>
        <w:t xml:space="preserve">Re-calculation Note for Last-Mile:</w:t>
      </w:r>
      <w:r>
        <w:t xml:space="preserve"> </w:t>
      </w:r>
      <w:r>
        <w:t xml:space="preserve">The previous large last-mile delivery figure significantly inflated total PCF. A more realistic allocation of 0.24934 kg CO2e / 50 packages / 50km results in 0.24934 kg CO2e for the last-mile portion for one unit. Re-summing with this corrected value for last-mile and total transport.</w:t>
      </w:r>
    </w:p>
    <w:p>
      <w:pPr>
        <w:pStyle w:val="BodyText"/>
      </w:pPr>
      <w:r>
        <w:rPr>
          <w:bCs/>
          <w:b/>
        </w:rPr>
        <w:t xml:space="preserve">Corrected Total PCF = 3.09 (Materials) + 4.964 (Production) + 0.4472 (Transportation) + 13.5 (Use Phase) + 0.0173 (EoL) = 22.0185 kg CO2e</w:t>
      </w:r>
    </w:p>
    <w:bookmarkEnd w:id="40"/>
    <w:bookmarkStart w:id="41" w:name="hotspots-and-reliability"/>
    <w:p>
      <w:pPr>
        <w:pStyle w:val="Heading3"/>
      </w:pPr>
      <w:r>
        <w:t xml:space="preserve">5.2. Hotspots and Reliability</w:t>
      </w:r>
    </w:p>
    <w:p>
      <w:pPr>
        <w:pStyle w:val="FirstParagraph"/>
      </w:pPr>
      <w:r>
        <w:t xml:space="preserve">The primary hotspots identified in the Smart Home Hub\'s lifecycle are:</w:t>
      </w:r>
    </w:p>
    <w:p>
      <w:pPr>
        <w:numPr>
          <w:ilvl w:val="0"/>
          <w:numId w:val="1017"/>
        </w:numPr>
        <w:pStyle w:val="Compact"/>
      </w:pPr>
      <w:r>
        <w:rPr>
          <w:bCs/>
          <w:b/>
        </w:rPr>
        <w:t xml:space="preserve">Use Phase (13.50 kg CO2e):</w:t>
      </w:r>
      <w:r>
        <w:t xml:space="preserve"> </w:t>
      </w:r>
      <w:r>
        <w:t xml:space="preserve">This stage is the largest contributor to the PCF, largely due to ongoing electricity consumption over the product\'s 5-year lifespan. This highlights the importance of energy efficiency in product design and educating consumers on sustainable energy sourcing.</w:t>
      </w:r>
    </w:p>
    <w:p>
      <w:pPr>
        <w:numPr>
          <w:ilvl w:val="0"/>
          <w:numId w:val="1017"/>
        </w:numPr>
        <w:pStyle w:val="Compact"/>
      </w:pPr>
      <w:r>
        <w:rPr>
          <w:bCs/>
          <w:b/>
        </w:rPr>
        <w:t xml:space="preserve">Production Phase (4.964 kg CO2e):</w:t>
      </w:r>
      <w:r>
        <w:t xml:space="preserve"> </w:t>
      </w:r>
      <w:r>
        <w:t xml:space="preserve">While 60% renewable energy is used, the remaining grid electricity from China\'s relatively high carbon intensity grid contributes significantly. Further increasing renewable energy sourcing or improving energy efficiency in production can reduce this.</w:t>
      </w:r>
    </w:p>
    <w:p>
      <w:pPr>
        <w:numPr>
          <w:ilvl w:val="0"/>
          <w:numId w:val="1017"/>
        </w:numPr>
        <w:pStyle w:val="Compact"/>
      </w:pPr>
      <w:r>
        <w:rPr>
          <w:bCs/>
          <w:b/>
        </w:rPr>
        <w:t xml:space="preserve">Materials Acquisition (3.09 kg CO2e):</w:t>
      </w:r>
      <w:r>
        <w:t xml:space="preserve"> </w:t>
      </w:r>
      <w:r>
        <w:t xml:space="preserve">The embodied carbon in components like the Circuit Board and Plastic Casing are notable. Optimizing material choices, lightweighting, and sourcing lower-carbon alternatives can address this.</w:t>
      </w:r>
    </w:p>
    <w:p>
      <w:pPr>
        <w:numPr>
          <w:ilvl w:val="0"/>
          <w:numId w:val="1017"/>
        </w:numPr>
        <w:pStyle w:val="Compact"/>
      </w:pPr>
      <w:r>
        <w:rPr>
          <w:bCs/>
          <w:b/>
        </w:rPr>
        <w:t xml:space="preserve">Last-Mile Delivery (0.24934 kg CO2e, part of Transportation):</w:t>
      </w:r>
      <w:r>
        <w:t xml:space="preserve"> </w:t>
      </w:r>
      <w:r>
        <w:t xml:space="preserve">While corrected to a more realistic value, last-mile delivery can still be a significant factor due to inefficiencies or less optimized routes compared to bulk freight.</w:t>
      </w:r>
    </w:p>
    <w:p>
      <w:pPr>
        <w:pStyle w:val="FirstParagraph"/>
      </w:pPr>
      <w:r>
        <w:rPr>
          <w:bCs/>
          <w:b/>
        </w:rPr>
        <w:t xml:space="preserve">Reliability:</w:t>
      </w:r>
      <w:r>
        <w:t xml:space="preserve"> </w:t>
      </w:r>
      <w:r>
        <w:t xml:space="preserve">The reliability of this report is high for calculated stages, relying on specific BOM data and generally accepted, recent emission factors for electricity and transport. Assumptions for generic factors (e.g., European grid mix for use phase, specific transport load factors) introduce some uncertainty but are clearly stated. Greater primary data for each specific supplier\'s energy mix and transport routes would further enhance accuracy.</w:t>
      </w:r>
    </w:p>
    <w:bookmarkEnd w:id="41"/>
    <w:bookmarkStart w:id="42" w:name="recommendations"/>
    <w:p>
      <w:pPr>
        <w:pStyle w:val="Heading3"/>
      </w:pPr>
      <w:r>
        <w:t xml:space="preserve">5.3. Recommendations</w:t>
      </w:r>
    </w:p>
    <w:p>
      <w:pPr>
        <w:numPr>
          <w:ilvl w:val="0"/>
          <w:numId w:val="1018"/>
        </w:numPr>
        <w:pStyle w:val="Compact"/>
      </w:pPr>
      <w:r>
        <w:rPr>
          <w:bCs/>
          <w:b/>
        </w:rPr>
        <w:t xml:space="preserve">Enhance Use Phase Efficiency:</w:t>
      </w:r>
      <w:r>
        <w:t xml:space="preserve"> </w:t>
      </w:r>
      <w:r>
        <w:t xml:space="preserve">Focus on engineering the Smart Home Hub for even lower energy consumption during operation. Explore sleep modes, smart power management features, and provide clear user guidance on energy-saving settings.</w:t>
      </w:r>
    </w:p>
    <w:p>
      <w:pPr>
        <w:numPr>
          <w:ilvl w:val="0"/>
          <w:numId w:val="1018"/>
        </w:numPr>
        <w:pStyle w:val="Compact"/>
      </w:pPr>
      <w:r>
        <w:rPr>
          <w:bCs/>
          <w:b/>
        </w:rPr>
        <w:t xml:space="preserve">Decarbonize Production Energy:</w:t>
      </w:r>
      <w:r>
        <w:t xml:space="preserve"> </w:t>
      </w:r>
      <w:r>
        <w:t xml:space="preserve">Invest further in direct renewable energy procurement or renewable energy credits for the Chinese manufacturing facilities to further reduce Scope 2 emissions.</w:t>
      </w:r>
    </w:p>
    <w:p>
      <w:pPr>
        <w:numPr>
          <w:ilvl w:val="0"/>
          <w:numId w:val="1018"/>
        </w:numPr>
        <w:pStyle w:val="Compact"/>
      </w:pPr>
      <w:r>
        <w:rPr>
          <w:bCs/>
          <w:b/>
        </w:rPr>
        <w:t xml:space="preserve">Optimize Material Selection:</w:t>
      </w:r>
      <w:r>
        <w:t xml:space="preserve"> </w:t>
      </w:r>
      <w:r>
        <w:t xml:space="preserve">Investigate alternative materials with lower embodied carbon footprints for the plastic casing and circuit board, without compromising product performance or quality. Explore recycled content where feasible.</w:t>
      </w:r>
    </w:p>
    <w:p>
      <w:pPr>
        <w:numPr>
          <w:ilvl w:val="0"/>
          <w:numId w:val="1018"/>
        </w:numPr>
        <w:pStyle w:val="Compact"/>
      </w:pPr>
      <w:r>
        <w:rPr>
          <w:bCs/>
          <w:b/>
        </w:rPr>
        <w:t xml:space="preserve">Improve Logistics Efficiency:</w:t>
      </w:r>
      <w:r>
        <w:t xml:space="preserve"> </w:t>
      </w:r>
      <w:r>
        <w:t xml:space="preserve">Collaborate with logistics partners to optimize routes, maximize load factors, and explore lower-emission transport modes where possible for both primary and last-mile delivery.</w:t>
      </w:r>
    </w:p>
    <w:p>
      <w:pPr>
        <w:numPr>
          <w:ilvl w:val="0"/>
          <w:numId w:val="1018"/>
        </w:numPr>
        <w:pStyle w:val="Compact"/>
      </w:pPr>
      <w:r>
        <w:rPr>
          <w:bCs/>
          <w:b/>
        </w:rPr>
        <w:t xml:space="preserve">Promote Circularity:</w:t>
      </w:r>
      <w:r>
        <w:t xml:space="preserve"> </w:t>
      </w:r>
      <w:r>
        <w:t xml:space="preserve">Continue to strengthen the product take-back and refurbishment programs. Communicate the high recyclability (85%) to consumers to encourage proper end-of-life disposal and maximize material recovery.</w:t>
      </w:r>
    </w:p>
    <w:p>
      <w:r>
        <w:pict>
          <v:rect style="width:0;height:1.5pt" o:hralign="center" o:hrstd="t" o:hr="t"/>
        </w:pict>
      </w:r>
    </w:p>
    <w:p>
      <w:pPr>
        <w:pStyle w:val="FirstParagraph"/>
      </w:pPr>
      <w:r>
        <w:t xml:space="preserve">Confidential - Internal Use Only | Page 1 of X</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Hub</dc:title>
  <dc:creator/>
  <dc:description>A high-detail Product Carbon Footprint (PCF) analysis for EcoTech Solutions\' Smart Home Hub, performed by Senior Sustainability Consultant Dr. David Green, adhering to GHG Protocol standards and 2026 LSR Update.</dc:description>
  <dc:language>en</dc:language>
  <cp:keywords/>
  <dcterms:created xsi:type="dcterms:W3CDTF">2026-05-30T22:07:11Z</dcterms:created>
  <dcterms:modified xsi:type="dcterms:W3CDTF">2026-05-30T22:07:11Z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