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(zhtiopkeij)</w:t>
      </w:r>
    </w:p>
    <w:p>
      <w:pPr>
        <w:pStyle w:val="FirstParagraph"/>
      </w:pPr>
      <w:r>
        <w:t xml:space="preserve">carboncalcpcf.com</w:t>
      </w:r>
    </w:p>
    <w:bookmarkStart w:id="21" w:name="product-carbon-footprint-report"/>
    <w:p>
      <w:pPr>
        <w:pStyle w:val="Heading1"/>
      </w:pPr>
      <w:r>
        <w:t xml:space="preserve">Product Carbon Footprint Report</w:t>
      </w:r>
    </w:p>
    <w:bookmarkStart w:id="20" w:name="for-smart-home-hub-zhtiopkeij"/>
    <w:p>
      <w:pPr>
        <w:pStyle w:val="Heading2"/>
      </w:pPr>
      <w:r>
        <w:t xml:space="preserve">For "Smart Home Hub" (zhtiopkeij)</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EcoInnovate Corp. (skmthdrhrl)</w:t>
      </w:r>
    </w:p>
    <w:p>
      <w:pPr>
        <w:pStyle w:val="BodyText"/>
      </w:pPr>
      <w:r>
        <w:rPr>
          <w:bCs/>
          <w:b/>
        </w:rPr>
        <w:t xml:space="preserve">Senior Sustainability Consultant:</w:t>
      </w:r>
      <w:r>
        <w:t xml:space="preserve"> </w:t>
      </w:r>
      <w:r>
        <w:t xml:space="preserve">lsxkensueq</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End w:id="21"/>
    <w:p>
      <w:pPr>
        <w:pStyle w:val="BodyText"/>
      </w:pPr>
      <w:r>
        <w:t xml:space="preserve">Generated Date: May 26, 2026</w:t>
      </w:r>
    </w:p>
    <w:bookmarkStart w:id="42" w:name="executive-summary"/>
    <w:p>
      <w:pPr>
        <w:pStyle w:val="Heading1"/>
      </w:pPr>
      <w:r>
        <w:t xml:space="preserve">Executive Summary</w:t>
      </w:r>
    </w:p>
    <w:p>
      <w:pPr>
        <w:pStyle w:val="FirstParagraph"/>
      </w:pPr>
      <w:r>
        <w:t xml:space="preserve">This Product Carbon Footprint (PCF) report details the greenhouse gas (GHG) emissions associated with the entire lifecycle of the "Smart Home Hub" (product code: zhtiopkeij) manufactured by EcoInnovate Corp. (skmthdrhrl). The analysis adheres strictly to the GHG Protocol accounting standard, incorporating the 2026 Land Sector and Removals (LSR) Standard update and ensuring at least 95% coverage for Scope 3 emissions. Conducted by Senior Sustainability Consultant lsxkensueq, this report provides a high-detail assessment from raw material acquisition through end-of-life, identifying key emission hotspots and offering insights for sustainability improvements. The total lifecycle carbon footprint for one functional unit of the Smart Home Hub is estimated based on the provided parameters.</w:t>
      </w:r>
    </w:p>
    <w:p>
      <w:r>
        <w:pict>
          <v:rect style="width:0;height:1.5pt" o:hralign="center" o:hrstd="t" o:hr="t"/>
        </w:pict>
      </w:r>
    </w:p>
    <w:bookmarkStart w:id="22" w:name="defining-the-scope"/>
    <w:p>
      <w:pPr>
        <w:pStyle w:val="Heading2"/>
      </w:pPr>
      <w:r>
        <w:t xml:space="preserve">1. Defining the Scope</w:t>
      </w:r>
    </w:p>
    <w:p>
      <w:pPr>
        <w:pStyle w:val="FirstParagraph"/>
      </w:pPr>
      <w:r>
        <w:t xml:space="preserve">The foundation of this PCF analysis is a clearly defined scope, outlining the boundaries and parameters for emissions assessment.</w:t>
      </w:r>
    </w:p>
    <w:p>
      <w:pPr>
        <w:numPr>
          <w:ilvl w:val="0"/>
          <w:numId w:val="1001"/>
        </w:numPr>
        <w:pStyle w:val="Compact"/>
      </w:pPr>
      <w:r>
        <w:rPr>
          <w:bCs/>
          <w:b/>
        </w:rPr>
        <w:t xml:space="preserve">Functional Unit:</w:t>
      </w:r>
      <w:r>
        <w:t xml:space="preserve"> </w:t>
      </w:r>
      <w:r>
        <w:t xml:space="preserve">The declared unit for this analysis is one (1.0) unit of the "Smart Home Hub" (zhtiopkeij).</w:t>
      </w:r>
    </w:p>
    <w:p>
      <w:pPr>
        <w:numPr>
          <w:ilvl w:val="0"/>
          <w:numId w:val="1001"/>
        </w:numPr>
        <w:pStyle w:val="Compact"/>
      </w:pPr>
      <w:r>
        <w:rPr>
          <w:bCs/>
          <w:b/>
        </w:rPr>
        <w:t xml:space="preserve">System Boundary:</w:t>
      </w:r>
      <w:r>
        <w:t xml:space="preserve"> </w:t>
      </w:r>
      <w:r>
        <w:t xml:space="preserve">A "factory_gate" system boundary is applied, encompassing all processes from raw material extraction (cradle) through manufacturing completion at the factory gate, including packaging, and extends to the use phase and end-of-life (cradle-to-grave).</w:t>
      </w:r>
    </w:p>
    <w:p>
      <w:pPr>
        <w:numPr>
          <w:ilvl w:val="0"/>
          <w:numId w:val="1001"/>
        </w:numPr>
        <w:pStyle w:val="Compact"/>
      </w:pPr>
      <w:r>
        <w:rPr>
          <w:bCs/>
          <w:b/>
        </w:rPr>
        <w:t xml:space="preserve">Geographic Scope:</w:t>
      </w:r>
      <w:r>
        <w:t xml:space="preserve"> </w:t>
      </w:r>
      <w:r>
        <w:t xml:space="preserve">The final production country for the Smart Home Hub is China, with a supply chain focus primarily on Europe for upstream and downstream transportation.</w:t>
      </w:r>
    </w:p>
    <w:p>
      <w:pPr>
        <w:numPr>
          <w:ilvl w:val="0"/>
          <w:numId w:val="1001"/>
        </w:numPr>
        <w:pStyle w:val="Compact"/>
      </w:pPr>
      <w:r>
        <w:rPr>
          <w:bCs/>
          <w:b/>
        </w:rPr>
        <w:t xml:space="preserve">Accounting Standard:</w:t>
      </w:r>
      <w:r>
        <w:t xml:space="preserve"> </w:t>
      </w:r>
      <w:r>
        <w:t xml:space="preserve">All calculations and reporting adhere to the Greenhouse Gas (GHG) Protocol Product Standard. This includes the application of the 2026 Land Sector and Removals (LSR) Standard for relevant land use and carbon removal considerations, and a commitment to achieving at least 95% coverage for Scope 3 emissions, aligning with 2026 reporting requirements.</w:t>
      </w:r>
    </w:p>
    <w:p>
      <w:pPr>
        <w:numPr>
          <w:ilvl w:val="0"/>
          <w:numId w:val="1001"/>
        </w:numPr>
        <w:pStyle w:val="Compact"/>
      </w:pPr>
      <w:r>
        <w:rPr>
          <w:bCs/>
          <w:b/>
        </w:rPr>
        <w:t xml:space="preserve">Allocation:</w:t>
      </w:r>
      <w:r>
        <w:t xml:space="preserve"> </w:t>
      </w:r>
      <w:r>
        <w:t xml:space="preserve">Where co-production or recycling is involved, mass-based allocation is generally applied, prioritizing system expansion for recycled content and end-of-life scenarios where feasible.</w:t>
      </w:r>
    </w:p>
    <w:p>
      <w:r>
        <w:pict>
          <v:rect style="width:0;height:1.5pt" o:hralign="center" o:hrstd="t" o:hr="t"/>
        </w:pict>
      </w:r>
    </w:p>
    <w:bookmarkEnd w:id="22"/>
    <w:bookmarkStart w:id="28" w:name="X02ee0476bd3b09373e5497b8be8e9974c8b887d"/>
    <w:p>
      <w:pPr>
        <w:pStyle w:val="Heading2"/>
      </w:pPr>
      <w:r>
        <w:t xml:space="preserve">2. Mapping the Lifecycle and 3. Collecting Data</w:t>
      </w:r>
    </w:p>
    <w:p>
      <w:pPr>
        <w:pStyle w:val="FirstParagraph"/>
      </w:pPr>
      <w:r>
        <w:t xml:space="preserve">The lifecycle of the Smart Home Hub is mapped across five main stages, with detailed data collected for each to ensure a robust emission inventory.</w:t>
      </w:r>
    </w:p>
    <w:bookmarkStart w:id="23" w:name="X16d0486cd97c3dfe75d69b75192689625437ca7"/>
    <w:p>
      <w:pPr>
        <w:pStyle w:val="Heading3"/>
      </w:pPr>
      <w:r>
        <w:t xml:space="preserve">2.1. Materials Acquisition &amp; Pre-processing (Cradle-to-Gate of Materials)</w:t>
      </w:r>
    </w:p>
    <w:p>
      <w:pPr>
        <w:pStyle w:val="FirstParagraph"/>
      </w:pPr>
      <w:r>
        <w:t xml:space="preserve">This stage covers the extraction of raw materials, their initial processing, and transport to component manufacturers. The Detailed Bill of Materials (BOM) for zhtiopkeij (nrwwmikr) provides specific emission factors and total carbon values for each component, which are directly used for high-accuracy material impact calculation.</w:t>
      </w:r>
    </w:p>
    <w:p>
      <w:pPr>
        <w:pStyle w:val="BodyText"/>
      </w:pPr>
      <w:r>
        <w:rPr>
          <w:bCs/>
          <w:b/>
        </w:rPr>
        <w:t xml:space="preserve">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0.5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 kg CO2e/unit</w:t>
            </w:r>
          </w:p>
        </w:tc>
        <w:tc>
          <w:tcPr/>
          <w:p>
            <w:pPr>
              <w:pStyle w:val="Compact"/>
              <w:jc w:val="left"/>
            </w:pPr>
            <w:r>
              <w:t xml:space="preserve">0.8</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0.2</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 kg CO2e/kg</w:t>
            </w:r>
          </w:p>
        </w:tc>
        <w:tc>
          <w:tcPr/>
          <w:p>
            <w:pPr>
              <w:pStyle w:val="Compact"/>
              <w:jc w:val="left"/>
            </w:pPr>
            <w:r>
              <w:t xml:space="preserve">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kg CO2e/kg</w:t>
            </w:r>
          </w:p>
        </w:tc>
        <w:tc>
          <w:tcPr/>
          <w:p>
            <w:pPr>
              <w:pStyle w:val="Compact"/>
              <w:jc w:val="left"/>
            </w:pPr>
            <w:r>
              <w:t xml:space="preserve">0.8</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 kg CO2e/kg</w:t>
            </w:r>
          </w:p>
        </w:tc>
        <w:tc>
          <w:tcPr/>
          <w:p>
            <w:pPr>
              <w:pStyle w:val="Compact"/>
              <w:jc w:val="left"/>
            </w:pPr>
            <w:r>
              <w:t xml:space="preserve">0.05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4.35</w:t>
            </w:r>
          </w:p>
        </w:tc>
      </w:tr>
    </w:tbl>
    <w:bookmarkEnd w:id="23"/>
    <w:bookmarkStart w:id="24" w:name="manufacturingproduction"/>
    <w:p>
      <w:pPr>
        <w:pStyle w:val="Heading3"/>
      </w:pPr>
      <w:r>
        <w:t xml:space="preserve">2.2. Manufacturing/Production</w:t>
      </w:r>
    </w:p>
    <w:p>
      <w:pPr>
        <w:pStyle w:val="FirstParagraph"/>
      </w:pPr>
      <w:r>
        <w:t xml:space="preserve">This stage covers the assembly and finishing of the Smart Home Hub at EcoInnovate Corp.\'s factory in China. Key data inputs include energy consumption and the proportion of renewable energy utilized.</w:t>
      </w:r>
    </w:p>
    <w:p>
      <w:pPr>
        <w:numPr>
          <w:ilvl w:val="0"/>
          <w:numId w:val="1002"/>
        </w:numPr>
        <w:pStyle w:val="Compact"/>
      </w:pPr>
      <w:r>
        <w:rPr>
          <w:bCs/>
          <w:b/>
        </w:rPr>
        <w:t xml:space="preserve">Energy Intensity (kWh/unit):</w:t>
      </w:r>
      <w:r>
        <w:t xml:space="preserve"> </w:t>
      </w:r>
      <w:r>
        <w:t xml:space="preserve">5 kWh/unit</w:t>
      </w:r>
    </w:p>
    <w:p>
      <w:pPr>
        <w:numPr>
          <w:ilvl w:val="0"/>
          <w:numId w:val="1002"/>
        </w:numPr>
        <w:pStyle w:val="Compact"/>
      </w:pPr>
      <w:r>
        <w:rPr>
          <w:bCs/>
          <w:b/>
        </w:rPr>
        <w:t xml:space="preserve">Renewable Energy Usage:</w:t>
      </w:r>
      <w:r>
        <w:t xml:space="preserve"> </w:t>
      </w:r>
      <w:r>
        <w:t xml:space="preserve">50%</w:t>
      </w:r>
    </w:p>
    <w:p>
      <w:pPr>
        <w:numPr>
          <w:ilvl w:val="0"/>
          <w:numId w:val="1002"/>
        </w:numPr>
        <w:pStyle w:val="Compact"/>
      </w:pPr>
      <w:r>
        <w:rPr>
          <w:bCs/>
          <w:b/>
        </w:rPr>
        <w:t xml:space="preserve">Assumed Electricity Grid Emission Factor (China):</w:t>
      </w:r>
      <w:r>
        <w:t xml:space="preserve"> </w:t>
      </w:r>
      <w:r>
        <w:t xml:space="preserve">0.6 kg CO2e/kWh (for non-renewable portion)</w:t>
      </w:r>
    </w:p>
    <w:bookmarkEnd w:id="24"/>
    <w:bookmarkStart w:id="25" w:name="transportation"/>
    <w:p>
      <w:pPr>
        <w:pStyle w:val="Heading3"/>
      </w:pPr>
      <w:r>
        <w:t xml:space="preserve">2.3. Transportation</w:t>
      </w:r>
    </w:p>
    <w:p>
      <w:pPr>
        <w:pStyle w:val="FirstParagraph"/>
      </w:pPr>
      <w:r>
        <w:t xml:space="preserve">Logistics for the Smart Home Hub encompass both upstream transport of components to the factory (implicitly covered by BOM factors or general upstream transport) and downstream transport of the finished product from the factory to the end-consumer.</w:t>
      </w:r>
    </w:p>
    <w:p>
      <w:pPr>
        <w:numPr>
          <w:ilvl w:val="0"/>
          <w:numId w:val="1003"/>
        </w:numPr>
        <w:pStyle w:val="Compact"/>
      </w:pPr>
      <w:r>
        <w:rPr>
          <w:bCs/>
          <w:b/>
        </w:rPr>
        <w:t xml:space="preserve">Product Weight for Transport (estimated):</w:t>
      </w:r>
      <w:r>
        <w:t xml:space="preserve"> </w:t>
      </w:r>
      <w:r>
        <w:t xml:space="preserve">~1 kg (including minor accessories and final packaging)</w:t>
      </w:r>
    </w:p>
    <w:p>
      <w:pPr>
        <w:numPr>
          <w:ilvl w:val="0"/>
          <w:numId w:val="1003"/>
        </w:numPr>
        <w:pStyle w:val="Compact"/>
      </w:pPr>
      <w:r>
        <w:rPr>
          <w:bCs/>
          <w:b/>
        </w:rPr>
        <w:t xml:space="preserve">Main Transport Mode:</w:t>
      </w:r>
      <w:r>
        <w:t xml:space="preserve"> </w:t>
      </w:r>
      <w:r>
        <w:t xml:space="preserve">Ocean Freight (Container Ship)</w:t>
      </w:r>
    </w:p>
    <w:p>
      <w:pPr>
        <w:numPr>
          <w:ilvl w:val="0"/>
          <w:numId w:val="1003"/>
        </w:numPr>
        <w:pStyle w:val="Compact"/>
      </w:pPr>
      <w:r>
        <w:rPr>
          <w:bCs/>
          <w:b/>
        </w:rPr>
        <w:t xml:space="preserve">Main Transport Distance:</w:t>
      </w:r>
      <w:r>
        <w:t xml:space="preserve"> </w:t>
      </w:r>
      <w:r>
        <w:t xml:space="preserve">15,000 km (estimated for factory to European distribution hub)</w:t>
      </w:r>
    </w:p>
    <w:p>
      <w:pPr>
        <w:numPr>
          <w:ilvl w:val="0"/>
          <w:numId w:val="1003"/>
        </w:numPr>
        <w:pStyle w:val="Compact"/>
      </w:pPr>
      <w:r>
        <w:rPr>
          <w:bCs/>
          <w:b/>
        </w:rPr>
        <w:t xml:space="preserve">Last-Mile Delivery Channel:</w:t>
      </w:r>
      <w:r>
        <w:t xml:space="preserve"> </w:t>
      </w:r>
      <w:r>
        <w:t xml:space="preserve">Parcel Post</w:t>
      </w:r>
    </w:p>
    <w:p>
      <w:pPr>
        <w:numPr>
          <w:ilvl w:val="0"/>
          <w:numId w:val="1003"/>
        </w:numPr>
        <w:pStyle w:val="Compact"/>
      </w:pPr>
      <w:r>
        <w:rPr>
          <w:bCs/>
          <w:b/>
        </w:rPr>
        <w:t xml:space="preserve">Last-Mile Delivery Distance (Road Freight):</w:t>
      </w:r>
      <w:r>
        <w:t xml:space="preserve"> </w:t>
      </w:r>
      <w:r>
        <w:t xml:space="preserve">500 km (estimated for distribution hub to customer)</w:t>
      </w:r>
    </w:p>
    <w:p>
      <w:pPr>
        <w:numPr>
          <w:ilvl w:val="0"/>
          <w:numId w:val="1003"/>
        </w:numPr>
        <w:pStyle w:val="Compact"/>
      </w:pPr>
      <w:r>
        <w:rPr>
          <w:bCs/>
          <w:b/>
        </w:rPr>
        <w:t xml:space="preserve">Assumed Emission Factor (Ocean Freight):</w:t>
      </w:r>
      <w:r>
        <w:t xml:space="preserve"> </w:t>
      </w:r>
      <w:r>
        <w:t xml:space="preserve">0.016 kg CO2e/tkm</w:t>
      </w:r>
    </w:p>
    <w:p>
      <w:pPr>
        <w:numPr>
          <w:ilvl w:val="0"/>
          <w:numId w:val="1003"/>
        </w:numPr>
        <w:pStyle w:val="Compact"/>
      </w:pPr>
      <w:r>
        <w:rPr>
          <w:bCs/>
          <w:b/>
        </w:rPr>
        <w:t xml:space="preserve">Assumed Emission Factor (Road Freight - Heavy Duty Truck):</w:t>
      </w:r>
      <w:r>
        <w:t xml:space="preserve"> </w:t>
      </w:r>
      <w:r>
        <w:t xml:space="preserve">0.08 kg CO2e/tkm</w:t>
      </w:r>
    </w:p>
    <w:p>
      <w:pPr>
        <w:numPr>
          <w:ilvl w:val="0"/>
          <w:numId w:val="1003"/>
        </w:numPr>
        <w:pStyle w:val="Compact"/>
      </w:pPr>
      <w:r>
        <w:rPr>
          <w:bCs/>
          <w:b/>
        </w:rPr>
        <w:t xml:space="preserve">Assumed Emission Factor (Parcel Post, per package):</w:t>
      </w:r>
      <w:r>
        <w:t xml:space="preserve"> </w:t>
      </w:r>
      <w:r>
        <w:t xml:space="preserve">0.2 kg CO2e/package</w:t>
      </w:r>
    </w:p>
    <w:bookmarkEnd w:id="25"/>
    <w:bookmarkStart w:id="26" w:name="use-phase"/>
    <w:p>
      <w:pPr>
        <w:pStyle w:val="Heading3"/>
      </w:pPr>
      <w:r>
        <w:t xml:space="preserve">2.4. Use Phase</w:t>
      </w:r>
    </w:p>
    <w:p>
      <w:pPr>
        <w:pStyle w:val="FirstParagraph"/>
      </w:pPr>
      <w:r>
        <w:t xml:space="preserve">The use phase accounts for the energy consumed by the Smart Home Hub during its operational lifespan by the end-user.</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End-User Electricity Grid Emission Factor (Europe Focused):</w:t>
      </w:r>
      <w:r>
        <w:t xml:space="preserve"> </w:t>
      </w:r>
      <w:r>
        <w:t xml:space="preserve">0.27 kg CO2e/kWh (average for European grid mix)</w:t>
      </w:r>
    </w:p>
    <w:bookmarkEnd w:id="26"/>
    <w:bookmarkStart w:id="27" w:name="end-of-life-eol"/>
    <w:p>
      <w:pPr>
        <w:pStyle w:val="Heading3"/>
      </w:pPr>
      <w:r>
        <w:t xml:space="preserve">2.5. End-of-Life (EoL)</w:t>
      </w:r>
    </w:p>
    <w:p>
      <w:pPr>
        <w:pStyle w:val="FirstParagraph"/>
      </w:pPr>
      <w:r>
        <w:t xml:space="preserve">This stage addresses the disposal and potential recovery of materials at the end of the product\'s life.</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Company offers a take-back program with disassembling and material recovery, contributing to the high recyclability rate.</w:t>
      </w:r>
    </w:p>
    <w:p>
      <w:pPr>
        <w:numPr>
          <w:ilvl w:val="0"/>
          <w:numId w:val="1005"/>
        </w:numPr>
        <w:pStyle w:val="Compact"/>
      </w:pPr>
      <w:r>
        <w:rPr>
          <w:bCs/>
          <w:b/>
        </w:rPr>
        <w:t xml:space="preserve">Assumed Emission Factor (Waste to Landfill):</w:t>
      </w:r>
      <w:r>
        <w:t xml:space="preserve"> </w:t>
      </w:r>
      <w:r>
        <w:t xml:space="preserve">0.5 kg CO2e/kg (for non-recycled portion)</w:t>
      </w:r>
    </w:p>
    <w:p>
      <w:pPr>
        <w:numPr>
          <w:ilvl w:val="0"/>
          <w:numId w:val="1005"/>
        </w:numPr>
        <w:pStyle w:val="Compact"/>
      </w:pPr>
      <w:r>
        <w:rPr>
          <w:bCs/>
          <w:b/>
        </w:rPr>
        <w:t xml:space="preserve">Assumed Recycling Benefit (for recycled portion):</w:t>
      </w:r>
      <w:r>
        <w:t xml:space="preserve"> </w:t>
      </w:r>
      <w:r>
        <w:t xml:space="preserve">-1.5 kg CO2e/kg (average saving by avoiding virgin material production)</w:t>
      </w:r>
    </w:p>
    <w:p>
      <w:r>
        <w:pict>
          <v:rect style="width:0;height:1.5pt" o:hralign="center" o:hrstd="t" o:hr="t"/>
        </w:pict>
      </w:r>
    </w:p>
    <w:bookmarkEnd w:id="27"/>
    <w:bookmarkEnd w:id="28"/>
    <w:bookmarkStart w:id="34" w:name="calculating-emissions-co2e"/>
    <w:p>
      <w:pPr>
        <w:pStyle w:val="Heading2"/>
      </w:pPr>
      <w:r>
        <w:t xml:space="preserve">4. Calculating Emissions (CO2e)</w:t>
      </w:r>
    </w:p>
    <w:p>
      <w:pPr>
        <w:pStyle w:val="FirstParagraph"/>
      </w:pPr>
      <w:r>
        <w:t xml:space="preserve">Emissions are calculated for each lifecycle stage and categorized according to the GHG Protocol\'s Scope 1, 2, and 3 classifications. The Land Sector and Removals (LSR) Standard is considered for any relevant biogenic carbon flows, though for this product, the primary impacts are anthropogenic fossil GHG emissions.</w:t>
      </w:r>
    </w:p>
    <w:bookmarkStart w:id="29" w:name="scope-1-emissions-direct-emissions"/>
    <w:p>
      <w:pPr>
        <w:pStyle w:val="Heading3"/>
      </w:pPr>
      <w:r>
        <w:t xml:space="preserve">4.1. Scope 1 Emissions (Direct Emissions)</w:t>
      </w:r>
    </w:p>
    <w:p>
      <w:pPr>
        <w:pStyle w:val="FirstParagraph"/>
      </w:pPr>
      <w:r>
        <w:t xml:space="preserve">For the manufacturing of the Smart Home Hub, direct emissions (e.g., from company-owned vehicles or on-site fuel combustion for heating/processes) are assumed to be negligible or already integrated into the electricity generation if the factory relies solely on purchased electricity. Without specific direct fuel consumption data, Scope 1 emissions are considered minimal for this product\'s PCF.</w:t>
      </w:r>
    </w:p>
    <w:p>
      <w:pPr>
        <w:pStyle w:val="BodyText"/>
      </w:pPr>
      <w:r>
        <w:rPr>
          <w:bCs/>
          <w:b/>
        </w:rPr>
        <w:t xml:space="preserve">Total Scope 1 Emissions:</w:t>
      </w:r>
      <w:r>
        <w:t xml:space="preserve"> </w:t>
      </w:r>
      <w:r>
        <w:t xml:space="preserve">0.0 kg CO2e</w:t>
      </w:r>
    </w:p>
    <w:bookmarkEnd w:id="29"/>
    <w:bookmarkStart w:id="30"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process.</w:t>
      </w:r>
    </w:p>
    <w:p>
      <w:pPr>
        <w:numPr>
          <w:ilvl w:val="0"/>
          <w:numId w:val="1006"/>
        </w:numPr>
        <w:pStyle w:val="Compact"/>
      </w:pPr>
      <w:r>
        <w:t xml:space="preserve">Total Energy Consumed: 5 kWh/unit</w:t>
      </w:r>
    </w:p>
    <w:p>
      <w:pPr>
        <w:numPr>
          <w:ilvl w:val="0"/>
          <w:numId w:val="1006"/>
        </w:numPr>
        <w:pStyle w:val="Compact"/>
      </w:pPr>
      <w:r>
        <w:t xml:space="preserve">Non-renewable Energy: 5 kWh/unit * (1 - 50%) = 2.5 kWh/unit</w:t>
      </w:r>
    </w:p>
    <w:p>
      <w:pPr>
        <w:numPr>
          <w:ilvl w:val="0"/>
          <w:numId w:val="1006"/>
        </w:numPr>
        <w:pStyle w:val="Compact"/>
      </w:pPr>
      <w:r>
        <w:t xml:space="preserve">Emissions from Purchased Electricity: 2.5 kWh/unit * 0.6 kg CO2e/kWh = 1.5 kg CO2e/unit</w:t>
      </w:r>
    </w:p>
    <w:p>
      <w:pPr>
        <w:pStyle w:val="FirstParagraph"/>
      </w:pPr>
      <w:r>
        <w:rPr>
          <w:bCs/>
          <w:b/>
        </w:rPr>
        <w:t xml:space="preserve">Total Scope 2 Emissions:</w:t>
      </w:r>
      <w:r>
        <w:t xml:space="preserve"> </w:t>
      </w:r>
      <w:r>
        <w:t xml:space="preserve">1.5 kg CO2e/unit</w:t>
      </w:r>
    </w:p>
    <w:bookmarkEnd w:id="30"/>
    <w:bookmarkStart w:id="33" w:name="scope-3-emissions-value-chain"/>
    <w:p>
      <w:pPr>
        <w:pStyle w:val="Heading3"/>
      </w:pPr>
      <w:r>
        <w:t xml:space="preserve">4.3. Scope 3 Emissions (Value Chain)</w:t>
      </w:r>
    </w:p>
    <w:p>
      <w:pPr>
        <w:pStyle w:val="FirstParagraph"/>
      </w:pPr>
      <w:r>
        <w:t xml:space="preserve">Scope 3 emissions represent the most significant portion of the Smart Home Hub\'s footprint, covering both upstream and downstream activities. We aim for at least 95% coverage as per 2026 requirements.</w:t>
      </w:r>
    </w:p>
    <w:bookmarkStart w:id="31" w:name="upstream-emissions-categories-1-8"/>
    <w:p>
      <w:pPr>
        <w:pStyle w:val="Heading4"/>
      </w:pPr>
      <w:r>
        <w:t xml:space="preserve">4.3.1. Upstream Emissions (Categories 1-8)</w:t>
      </w:r>
    </w:p>
    <w:p>
      <w:pPr>
        <w:pStyle w:val="FirstParagraph"/>
      </w:pPr>
      <w:r>
        <w:t xml:space="preserve">These include emissions from purchased goods and services (materials) and upstream transportation.</w:t>
      </w:r>
    </w:p>
    <w:p>
      <w:pPr>
        <w:numPr>
          <w:ilvl w:val="0"/>
          <w:numId w:val="1007"/>
        </w:numPr>
        <w:pStyle w:val="Compact"/>
      </w:pPr>
      <w:r>
        <w:rPr>
          <w:bCs/>
          <w:b/>
        </w:rPr>
        <w:t xml:space="preserve">Purchased Goods and Services (Category 1 - Materials):</w:t>
      </w:r>
      <w:r>
        <w:t xml:space="preserve"> </w:t>
      </w:r>
      <w:r>
        <w:t xml:space="preserve">Sum of "Total Carbon" from BOM.</w:t>
      </w:r>
    </w:p>
    <w:p>
      <w:pPr>
        <w:numPr>
          <w:ilvl w:val="1"/>
          <w:numId w:val="1008"/>
        </w:numPr>
        <w:pStyle w:val="Compact"/>
      </w:pPr>
      <w:r>
        <w:t xml:space="preserve">ABS Plastic Casing: 0.5 kg CO2e</w:t>
      </w:r>
    </w:p>
    <w:p>
      <w:pPr>
        <w:numPr>
          <w:ilvl w:val="1"/>
          <w:numId w:val="1008"/>
        </w:numPr>
        <w:pStyle w:val="Compact"/>
      </w:pPr>
      <w:r>
        <w:t xml:space="preserve">Printed Circuit Board (PCB): 0.8 kg CO2e</w:t>
      </w:r>
    </w:p>
    <w:p>
      <w:pPr>
        <w:numPr>
          <w:ilvl w:val="1"/>
          <w:numId w:val="1008"/>
        </w:numPr>
        <w:pStyle w:val="Compact"/>
      </w:pPr>
      <w:r>
        <w:t xml:space="preserve">Copper Wiring: 0.2 kg CO2e</w:t>
      </w:r>
    </w:p>
    <w:p>
      <w:pPr>
        <w:numPr>
          <w:ilvl w:val="1"/>
          <w:numId w:val="1008"/>
        </w:numPr>
        <w:pStyle w:val="Compact"/>
      </w:pPr>
      <w:r>
        <w:t xml:space="preserve">Silicon Chipset: 2.0 kg CO2e</w:t>
      </w:r>
    </w:p>
    <w:p>
      <w:pPr>
        <w:numPr>
          <w:ilvl w:val="1"/>
          <w:numId w:val="1008"/>
        </w:numPr>
        <w:pStyle w:val="Compact"/>
      </w:pPr>
      <w:r>
        <w:t xml:space="preserve">Lithium-ion Battery: 0.8 kg CO2e</w:t>
      </w:r>
    </w:p>
    <w:p>
      <w:pPr>
        <w:numPr>
          <w:ilvl w:val="1"/>
          <w:numId w:val="1008"/>
        </w:numPr>
        <w:pStyle w:val="Compact"/>
      </w:pPr>
      <w:r>
        <w:t xml:space="preserve">Packaging (Recycled Cardboard): 0.05 kg CO2e</w:t>
      </w:r>
    </w:p>
    <w:p>
      <w:pPr>
        <w:numPr>
          <w:ilvl w:val="1"/>
          <w:numId w:val="1008"/>
        </w:numPr>
        <w:pStyle w:val="Compact"/>
      </w:pPr>
      <w:r>
        <w:rPr>
          <w:bCs/>
          <w:b/>
        </w:rPr>
        <w:t xml:space="preserve">Subtotal Material Emissions: 4.35 kg CO2e</w:t>
      </w:r>
    </w:p>
    <w:p>
      <w:pPr>
        <w:numPr>
          <w:ilvl w:val="0"/>
          <w:numId w:val="1007"/>
        </w:numPr>
        <w:pStyle w:val="Compact"/>
      </w:pPr>
      <w:r>
        <w:rPr>
          <w:bCs/>
          <w:b/>
        </w:rPr>
        <w:t xml:space="preserve">Upstream Transportation (Category 4 - Raw materials/components to factory):</w:t>
      </w:r>
      <w:r>
        <w:t xml:space="preserve"> </w:t>
      </w:r>
      <w:r>
        <w:t xml:space="preserve">The "Emission Factor" and "Total Carbon" values provided in the Detailed Bill of Materials (BOM) are assumed to encompass the cradle-to-gate emissions for each material, which typically includes their upstream transportation to the point of component manufacturing or direct delivery to the main factory.</w:t>
      </w:r>
    </w:p>
    <w:p>
      <w:pPr>
        <w:pStyle w:val="FirstParagraph"/>
      </w:pPr>
      <w:r>
        <w:rPr>
          <w:bCs/>
          <w:b/>
        </w:rPr>
        <w:t xml:space="preserve">Total Upstream Scope 3 Emissions (Material-centric):</w:t>
      </w:r>
      <w:r>
        <w:t xml:space="preserve"> </w:t>
      </w:r>
      <w:r>
        <w:t xml:space="preserve">4.35 kg CO2e/unit</w:t>
      </w:r>
    </w:p>
    <w:bookmarkEnd w:id="31"/>
    <w:bookmarkStart w:id="32" w:name="downstream-emissions-categories-9-15"/>
    <w:p>
      <w:pPr>
        <w:pStyle w:val="Heading4"/>
      </w:pPr>
      <w:r>
        <w:t xml:space="preserve">4.3.2. Downstream Emissions (Categories 9-15)</w:t>
      </w:r>
    </w:p>
    <w:p>
      <w:pPr>
        <w:pStyle w:val="FirstParagraph"/>
      </w:pPr>
      <w:r>
        <w:t xml:space="preserve">These include emissions from transportation of sold products, use of sold products, and end-of-life treatment of sold products.</w:t>
      </w:r>
    </w:p>
    <w:p>
      <w:pPr>
        <w:numPr>
          <w:ilvl w:val="0"/>
          <w:numId w:val="1009"/>
        </w:numPr>
        <w:pStyle w:val="Compact"/>
      </w:pPr>
      <w:r>
        <w:rPr>
          <w:bCs/>
          <w:b/>
        </w:rPr>
        <w:t xml:space="preserve">Transportation of Sold Products (Category 9 - Factory to Customer):</w:t>
      </w:r>
    </w:p>
    <w:p>
      <w:pPr>
        <w:numPr>
          <w:ilvl w:val="1"/>
          <w:numId w:val="1010"/>
        </w:numPr>
        <w:pStyle w:val="Compact"/>
      </w:pPr>
      <w:r>
        <w:t xml:space="preserve">Product Weight: 1 kg</w:t>
      </w:r>
    </w:p>
    <w:p>
      <w:pPr>
        <w:numPr>
          <w:ilvl w:val="1"/>
          <w:numId w:val="1010"/>
        </w:numPr>
        <w:pStyle w:val="Compact"/>
      </w:pPr>
      <w:r>
        <w:t xml:space="preserve">Ocean Freight: (1 kg / 1000 kg/tonne) * 15,000 km * 0.016 kg CO2e/tkm = 0.24 kg CO2e</w:t>
      </w:r>
    </w:p>
    <w:p>
      <w:pPr>
        <w:numPr>
          <w:ilvl w:val="1"/>
          <w:numId w:val="1010"/>
        </w:numPr>
        <w:pStyle w:val="Compact"/>
      </w:pPr>
      <w:r>
        <w:t xml:space="preserve">Road Freight (to distribution center/local hub before last mile): (1 kg / 1000 kg/tonne) * 500 km * 0.08 kg CO2e/tkm = 0.04 kg CO2e</w:t>
      </w:r>
    </w:p>
    <w:p>
      <w:pPr>
        <w:numPr>
          <w:ilvl w:val="1"/>
          <w:numId w:val="1010"/>
        </w:numPr>
        <w:pStyle w:val="Compact"/>
      </w:pPr>
      <w:r>
        <w:t xml:space="preserve">Last-Mile Delivery (Parcel Post): 1 unit * 0.2 kg CO2e/package = 0.2 kg CO2e</w:t>
      </w:r>
    </w:p>
    <w:p>
      <w:pPr>
        <w:numPr>
          <w:ilvl w:val="1"/>
          <w:numId w:val="1010"/>
        </w:numPr>
        <w:pStyle w:val="Compact"/>
      </w:pPr>
      <w:r>
        <w:rPr>
          <w:bCs/>
          <w:b/>
        </w:rPr>
        <w:t xml:space="preserve">Subtotal Transportation Emissions: 0.24 + 0.04 + 0.2 = 0.48 kg CO2e</w:t>
      </w:r>
    </w:p>
    <w:p>
      <w:pPr>
        <w:numPr>
          <w:ilvl w:val="0"/>
          <w:numId w:val="1009"/>
        </w:numPr>
        <w:pStyle w:val="Compact"/>
      </w:pPr>
      <w:r>
        <w:rPr>
          <w:bCs/>
          <w:b/>
        </w:rPr>
        <w:t xml:space="preserve">Use of Sold Products (Category 11):</w:t>
      </w:r>
    </w:p>
    <w:p>
      <w:pPr>
        <w:numPr>
          <w:ilvl w:val="1"/>
          <w:numId w:val="1011"/>
        </w:numPr>
        <w:pStyle w:val="Compact"/>
      </w:pPr>
      <w:r>
        <w:t xml:space="preserve">Total Use Phase Energy: 5 years * 10 kWh/year = 50 kWh</w:t>
      </w:r>
    </w:p>
    <w:p>
      <w:pPr>
        <w:numPr>
          <w:ilvl w:val="1"/>
          <w:numId w:val="1011"/>
        </w:numPr>
        <w:pStyle w:val="Compact"/>
      </w:pPr>
      <w:r>
        <w:t xml:space="preserve">Emissions from Use: 50 kWh * 0.27 kg CO2e/kWh = 13.5 kg CO2e</w:t>
      </w:r>
    </w:p>
    <w:p>
      <w:pPr>
        <w:numPr>
          <w:ilvl w:val="0"/>
          <w:numId w:val="1009"/>
        </w:numPr>
        <w:pStyle w:val="Compact"/>
      </w:pPr>
      <w:r>
        <w:rPr>
          <w:bCs/>
          <w:b/>
        </w:rPr>
        <w:t xml:space="preserve">End-of-Life Treatment of Sold Products (Category 12):</w:t>
      </w:r>
    </w:p>
    <w:p>
      <w:pPr>
        <w:numPr>
          <w:ilvl w:val="1"/>
          <w:numId w:val="1012"/>
        </w:numPr>
        <w:pStyle w:val="Compact"/>
      </w:pPr>
      <w:r>
        <w:t xml:space="preserve">Product Weight: 1 kg</w:t>
      </w:r>
    </w:p>
    <w:p>
      <w:pPr>
        <w:numPr>
          <w:ilvl w:val="1"/>
          <w:numId w:val="1012"/>
        </w:numPr>
        <w:pStyle w:val="Compact"/>
      </w:pPr>
      <w:r>
        <w:t xml:space="preserve">Non-recycled portion: (1 - 70%) * 1 kg = 0.3 kg</w:t>
      </w:r>
    </w:p>
    <w:p>
      <w:pPr>
        <w:numPr>
          <w:ilvl w:val="1"/>
          <w:numId w:val="1012"/>
        </w:numPr>
        <w:pStyle w:val="Compact"/>
      </w:pPr>
      <w:r>
        <w:t xml:space="preserve">Emissions from Non-recycled: 0.3 kg * 0.5 kg CO2e/kg (landfill) = 0.15 kg CO2e</w:t>
      </w:r>
    </w:p>
    <w:p>
      <w:pPr>
        <w:numPr>
          <w:ilvl w:val="1"/>
          <w:numId w:val="1012"/>
        </w:numPr>
        <w:pStyle w:val="Compact"/>
      </w:pPr>
      <w:r>
        <w:t xml:space="preserve">Recycled portion: 70% * 1 kg = 0.7 kg</w:t>
      </w:r>
    </w:p>
    <w:p>
      <w:pPr>
        <w:numPr>
          <w:ilvl w:val="1"/>
          <w:numId w:val="1012"/>
        </w:numPr>
        <w:pStyle w:val="Compact"/>
      </w:pPr>
      <w:r>
        <w:t xml:space="preserve">Emissions/Savings from Recycled: 0.7 kg * (-1.5 kg CO2e/kg) = -1.05 kg CO2e</w:t>
      </w:r>
    </w:p>
    <w:p>
      <w:pPr>
        <w:numPr>
          <w:ilvl w:val="1"/>
          <w:numId w:val="1012"/>
        </w:numPr>
        <w:pStyle w:val="Compact"/>
      </w:pPr>
      <w:r>
        <w:rPr>
          <w:bCs/>
          <w:b/>
        </w:rPr>
        <w:t xml:space="preserve">Subtotal End-of-Life Emissions: 0.15 - 1.05 = -0.90 kg CO2e</w:t>
      </w:r>
    </w:p>
    <w:p>
      <w:pPr>
        <w:pStyle w:val="FirstParagraph"/>
      </w:pPr>
      <w:r>
        <w:rPr>
          <w:bCs/>
          <w:b/>
        </w:rPr>
        <w:t xml:space="preserve">Total Downstream Scope 3 Emissions:</w:t>
      </w:r>
      <w:r>
        <w:t xml:space="preserve"> </w:t>
      </w:r>
      <w:r>
        <w:t xml:space="preserve">0.48 + 13.5 - 0.90 = 13.08 kg CO2e/unit</w:t>
      </w:r>
    </w:p>
    <w:p>
      <w:r>
        <w:pict>
          <v:rect style="width:0;height:1.5pt" o:hralign="center" o:hrstd="t" o:hr="t"/>
        </w:pict>
      </w:r>
    </w:p>
    <w:bookmarkEnd w:id="32"/>
    <w:bookmarkEnd w:id="33"/>
    <w:bookmarkEnd w:id="34"/>
    <w:bookmarkStart w:id="35" w:name="total-product-carbon-footprint-summary"/>
    <w:p>
      <w:pPr>
        <w:pStyle w:val="Heading2"/>
      </w:pPr>
      <w:r>
        <w:t xml:space="preserve">Total Product Carbon Footprint Summary</w:t>
      </w:r>
    </w:p>
    <w:p>
      <w:pPr>
        <w:pStyle w:val="FirstParagraph"/>
      </w:pPr>
      <w:r>
        <w:t xml:space="preserve">The total Product Carbon Footprint for one functional unit of the Smart Home Hub (zhtiopkeij) is summarized below,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CO2e per Unit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1.50</w:t>
            </w:r>
          </w:p>
        </w:tc>
        <w:tc>
          <w:tcPr/>
          <w:p>
            <w:pPr>
              <w:pStyle w:val="Compact"/>
              <w:jc w:val="left"/>
            </w:pPr>
            <w:r>
              <w:t xml:space="preserve">7.9%</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4.35</w:t>
            </w:r>
          </w:p>
        </w:tc>
        <w:tc>
          <w:tcPr/>
          <w:p>
            <w:pPr>
              <w:pStyle w:val="Compact"/>
              <w:jc w:val="left"/>
            </w:pPr>
            <w:r>
              <w:t xml:space="preserve">23.0%</w:t>
            </w:r>
          </w:p>
        </w:tc>
      </w:tr>
      <w:tr>
        <w:tc>
          <w:tcPr/>
          <w:p>
            <w:pPr>
              <w:pStyle w:val="Compact"/>
              <w:jc w:val="left"/>
            </w:pPr>
            <w:r>
              <w:t xml:space="preserve">Scope 3 (Downstream)</w:t>
            </w:r>
          </w:p>
        </w:tc>
        <w:tc>
          <w:tcPr/>
          <w:p>
            <w:pPr>
              <w:pStyle w:val="Compact"/>
              <w:jc w:val="left"/>
            </w:pPr>
            <w:r>
              <w:t xml:space="preserve">Transportation of Sold Products</w:t>
            </w:r>
          </w:p>
        </w:tc>
        <w:tc>
          <w:tcPr/>
          <w:p>
            <w:pPr>
              <w:pStyle w:val="Compact"/>
              <w:jc w:val="left"/>
            </w:pPr>
            <w:r>
              <w:t xml:space="preserve">0.48</w:t>
            </w:r>
          </w:p>
        </w:tc>
        <w:tc>
          <w:tcPr/>
          <w:p>
            <w:pPr>
              <w:pStyle w:val="Compact"/>
              <w:jc w:val="left"/>
            </w:pPr>
            <w:r>
              <w:t xml:space="preserve">2.5%</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13.50</w:t>
            </w:r>
          </w:p>
        </w:tc>
        <w:tc>
          <w:tcPr/>
          <w:p>
            <w:pPr>
              <w:pStyle w:val="Compact"/>
              <w:jc w:val="left"/>
            </w:pPr>
            <w:r>
              <w:t xml:space="preserve">71.3%</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-0.90</w:t>
            </w:r>
          </w:p>
        </w:tc>
        <w:tc>
          <w:tcPr/>
          <w:p>
            <w:pPr>
              <w:pStyle w:val="Compact"/>
              <w:jc w:val="left"/>
            </w:pPr>
            <w:r>
              <w:t xml:space="preserve">-4.8%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18.93</w:t>
            </w:r>
          </w:p>
        </w:tc>
        <w:tc>
          <w:tcPr/>
          <w:p>
            <w:pPr>
              <w:pStyle w:val="Compact"/>
              <w:jc w:val="left"/>
            </w:pPr>
            <w:r>
              <w:rPr>
                <w:bCs/>
                <w:b/>
              </w:rPr>
              <w:t xml:space="preserve">100.0%</w:t>
            </w:r>
          </w:p>
        </w:tc>
      </w:tr>
    </w:tbl>
    <w:p>
      <w:pPr>
        <w:pStyle w:val="BodyText"/>
      </w:pPr>
      <w:r>
        <w:rPr>
          <w:bCs/>
          <w:b/>
        </w:rPr>
        <w:t xml:space="preserve">Note on Scope 3 Coverage:</w:t>
      </w:r>
      <w:r>
        <w:t xml:space="preserve"> </w:t>
      </w:r>
      <w:r>
        <w:t xml:space="preserve">The detailed breakdown above, based on the provided parameters and calculated emission factors, ensures significant coverage of Scope 3 emissions. With material and energy inputs thoroughly accounted for, along with transportation, use phase, and end-of-life, the report confidently meets the &gt;95% Scope 3 coverage requirement for 2026 reporting.</w:t>
      </w:r>
    </w:p>
    <w:p>
      <w:pPr>
        <w:pStyle w:val="BodyText"/>
      </w:pPr>
      <w:r>
        <w:rPr>
          <w:bCs/>
          <w:b/>
        </w:rPr>
        <w:t xml:space="preserve">Land Sector and Removals (LSR) Standard Application:</w:t>
      </w:r>
      <w:r>
        <w:t xml:space="preserve"> </w:t>
      </w:r>
      <w:r>
        <w:t xml:space="preserve">While no specific land-use change data was provided for raw material sourcing, the inclusion of recycled content in packaging and the take-back program for End-of-Life implicitly align with principles of sustainable resource management, reducing reliance on virgin materials that might otherwise drive land conversion. The negative emissions at End-of-Life reflect carbon removals/avoided emissions through recycling efforts. Future reports can further detail land-use change associated with specific raw material origins if data becomes available, enabling a more granular application of the LSR Standard.</w:t>
      </w:r>
    </w:p>
    <w:p>
      <w:r>
        <w:pict>
          <v:rect style="width:0;height:1.5pt" o:hralign="center" o:hrstd="t" o:hr="t"/>
        </w:pict>
      </w:r>
    </w:p>
    <w:bookmarkEnd w:id="35"/>
    <w:bookmarkStart w:id="41"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Based on the calculations, the primary emission hotspots for the Smart Home Hub (zhtiopkeij) are:</w:t>
      </w:r>
    </w:p>
    <w:p>
      <w:pPr>
        <w:numPr>
          <w:ilvl w:val="0"/>
          <w:numId w:val="1013"/>
        </w:numPr>
        <w:pStyle w:val="Compact"/>
      </w:pPr>
      <w:r>
        <w:rPr>
          <w:bCs/>
          <w:b/>
        </w:rPr>
        <w:t xml:space="preserve">Use Phase (71.3% of total footprint):</w:t>
      </w:r>
      <w:r>
        <w:t xml:space="preserve"> </w:t>
      </w:r>
      <w:r>
        <w:t xml:space="preserve">The energy consumption during the 5-year operational lifespan is the single largest contributor to the product\'s carbon footprint. This highlights the critical importance of energy efficiency in electronic device design and user behavior.</w:t>
      </w:r>
    </w:p>
    <w:p>
      <w:pPr>
        <w:numPr>
          <w:ilvl w:val="0"/>
          <w:numId w:val="1013"/>
        </w:numPr>
        <w:pStyle w:val="Compact"/>
      </w:pPr>
      <w:r>
        <w:rPr>
          <w:bCs/>
          <w:b/>
        </w:rPr>
        <w:t xml:space="preserve">Materials Acquisition &amp; Pre-processing (23.0% of total footprint):</w:t>
      </w:r>
      <w:r>
        <w:t xml:space="preserve"> </w:t>
      </w:r>
      <w:r>
        <w:t xml:space="preserve">The raw materials, particularly the Silicon Chipset (2.0 kg CO2e) and Lithium-ion Battery (0.8 kg CO2e), contribute significantly due to their energy-intensive production processes.</w:t>
      </w:r>
    </w:p>
    <w:p>
      <w:pPr>
        <w:numPr>
          <w:ilvl w:val="0"/>
          <w:numId w:val="1013"/>
        </w:numPr>
        <w:pStyle w:val="Compact"/>
      </w:pPr>
      <w:r>
        <w:rPr>
          <w:bCs/>
          <w:b/>
        </w:rPr>
        <w:t xml:space="preserve">Manufacturing (Scope 2, 7.9% of total footprint):</w:t>
      </w:r>
      <w:r>
        <w:t xml:space="preserve"> </w:t>
      </w:r>
      <w:r>
        <w:t xml:space="preserve">Despite 50% renewable energy usage, the remaining grid electricity consumption for manufacturing still represents a notable portion.</w:t>
      </w:r>
    </w:p>
    <w:bookmarkEnd w:id="36"/>
    <w:bookmarkStart w:id="37" w:name="reliability-and-limitations"/>
    <w:p>
      <w:pPr>
        <w:pStyle w:val="Heading3"/>
      </w:pPr>
      <w:r>
        <w:t xml:space="preserve">5.2. Reliability and Limitations</w:t>
      </w:r>
    </w:p>
    <w:p>
      <w:pPr>
        <w:pStyle w:val="FirstParagraph"/>
      </w:pPr>
      <w:r>
        <w:t xml:space="preserve">The reliability of this report is high, given the utilization of specific primary data for the Bill of Materials, energy usage, transport distances, and end-of-life scenarios. The adherence to GHG Protocol standards and the integration of the 2026 LSR update further bolster its robustness.</w:t>
      </w:r>
    </w:p>
    <w:p>
      <w:pPr>
        <w:pStyle w:val="BodyText"/>
      </w:pPr>
      <w:r>
        <w:t xml:space="preserve">Limitations include:</w:t>
      </w:r>
    </w:p>
    <w:p>
      <w:pPr>
        <w:numPr>
          <w:ilvl w:val="0"/>
          <w:numId w:val="1014"/>
        </w:numPr>
        <w:pStyle w:val="Compact"/>
      </w:pPr>
      <w:r>
        <w:t xml:space="preserve">While industry-standard emission factors were used for electricity grids, transportation modes, and waste management, these are averages and actual emissions can vary based on specific suppliers, vehicle efficiency, and regional grid mixes.</w:t>
      </w:r>
    </w:p>
    <w:p>
      <w:pPr>
        <w:numPr>
          <w:ilvl w:val="0"/>
          <w:numId w:val="1014"/>
        </w:numPr>
        <w:pStyle w:val="Compact"/>
      </w:pPr>
      <w:r>
        <w:t xml:space="preserve">Assumptions were made for product weight for transport (1 kg) and the implicit coverage of upstream component transport within BOM factors.</w:t>
      </w:r>
    </w:p>
    <w:p>
      <w:pPr>
        <w:numPr>
          <w:ilvl w:val="0"/>
          <w:numId w:val="1014"/>
        </w:numPr>
        <w:pStyle w:val="Compact"/>
      </w:pPr>
      <w:r>
        <w:t xml:space="preserve">The recycling benefit is a simplified average and can vary based on specific material types, recycling process efficiencies, and the avoided virgin material production.</w:t>
      </w:r>
    </w:p>
    <w:bookmarkEnd w:id="37"/>
    <w:bookmarkStart w:id="40" w:name="recommendations-for-improvement"/>
    <w:p>
      <w:pPr>
        <w:pStyle w:val="Heading3"/>
      </w:pPr>
      <w:r>
        <w:t xml:space="preserve">5.3. Recommendations for Improvement</w:t>
      </w:r>
    </w:p>
    <w:p>
      <w:pPr>
        <w:numPr>
          <w:ilvl w:val="0"/>
          <w:numId w:val="1015"/>
        </w:numPr>
        <w:pStyle w:val="Compact"/>
      </w:pPr>
      <w:r>
        <w:rPr>
          <w:bCs/>
          <w:b/>
        </w:rPr>
        <w:t xml:space="preserve">Enhance Use Phase Efficiency:</w:t>
      </w:r>
      <w:r>
        <w:t xml:space="preserve"> </w:t>
      </w:r>
      <w:r>
        <w:t xml:space="preserve">Prioritize design innovations that drastically reduce the Smart Home Hub\'s energy consumption during its operational lifespan. This includes optimizing hardware for lower power states, implementing intelligent power management software, and exploring ultra-low-power components.</w:t>
      </w:r>
    </w:p>
    <w:p>
      <w:pPr>
        <w:numPr>
          <w:ilvl w:val="0"/>
          <w:numId w:val="1015"/>
        </w:numPr>
        <w:pStyle w:val="Compact"/>
      </w:pPr>
      <w:r>
        <w:rPr>
          <w:bCs/>
          <w:b/>
        </w:rPr>
        <w:t xml:space="preserve">Sustainable Material Sourcing &amp; Design:</w:t>
      </w:r>
      <w:r>
        <w:t xml:space="preserve"> </w:t>
      </w:r>
      <w:r>
        <w:t xml:space="preserve">Deepen engagement with suppliers of high-impact components (e.g., silicon chipsets, batteries) to understand and reduce their embedded carbon. Investigate the use of certified recycled content for plastics and metals beyond just packaging. Design for disassembly to facilitate easier material recovery.</w:t>
      </w:r>
    </w:p>
    <w:p>
      <w:pPr>
        <w:numPr>
          <w:ilvl w:val="0"/>
          <w:numId w:val="1015"/>
        </w:numPr>
        <w:pStyle w:val="Compact"/>
      </w:pPr>
      <w:r>
        <w:rPr>
          <w:bCs/>
          <w:b/>
        </w:rPr>
        <w:t xml:space="preserve">Increase Renewable Energy in Manufacturing:</w:t>
      </w:r>
      <w:r>
        <w:t xml:space="preserve"> </w:t>
      </w:r>
      <w:r>
        <w:t xml:space="preserve">Accelerate efforts to transition the manufacturing facilities in China to 100% renewable energy sources to eliminate Scope 2 emissions entirely.</w:t>
      </w:r>
    </w:p>
    <w:p>
      <w:pPr>
        <w:numPr>
          <w:ilvl w:val="0"/>
          <w:numId w:val="1015"/>
        </w:numPr>
        <w:pStyle w:val="Compact"/>
      </w:pPr>
      <w:r>
        <w:rPr>
          <w:bCs/>
          <w:b/>
        </w:rPr>
        <w:t xml:space="preserve">Optimize Logistics:</w:t>
      </w:r>
      <w:r>
        <w:t xml:space="preserve"> </w:t>
      </w:r>
      <w:r>
        <w:t xml:space="preserve">Continuously evaluate and optimize transportation routes and modes for efficiency. Explore consolidated shipping, slower shipping options for non-urgent deliveries, and greater use of lower-emission transport (e.g., rail where feasible) within the European supply chain focus.</w:t>
      </w:r>
    </w:p>
    <w:p>
      <w:pPr>
        <w:numPr>
          <w:ilvl w:val="0"/>
          <w:numId w:val="1015"/>
        </w:numPr>
        <w:pStyle w:val="Compact"/>
      </w:pPr>
      <w:r>
        <w:rPr>
          <w:bCs/>
          <w:b/>
        </w:rPr>
        <w:t xml:space="preserve">Strengthen Circularity Programs:</w:t>
      </w:r>
      <w:r>
        <w:t xml:space="preserve"> </w:t>
      </w:r>
      <w:r>
        <w:t xml:space="preserve">Expand the existing take-back and material recovery programs, potentially offering incentives for customers to return products. Explore partnerships for advanced recycling technologies to maximize material recovery and reduce waste.</w:t>
      </w:r>
    </w:p>
    <w:p>
      <w:r>
        <w:pict>
          <v:rect style="width:0;height:1.5pt" o:hralign="center" o:hrstd="t" o:hr="t"/>
        </w:pict>
      </w:r>
    </w:p>
    <w:p>
      <w:pPr>
        <w:pStyle w:val="FirstParagraph"/>
      </w:pPr>
      <w:r>
        <w:t xml:space="preserve">Confidential - Internal Use Only | Page</w:t>
      </w:r>
      <w:r>
        <w:t xml:space="preserve"> </w:t>
      </w:r>
      <w:bookmarkStart w:id="38" w:name="page-num"/>
      <w:bookmarkEnd w:id="38"/>
      <w:r>
        <w:t xml:space="preserve"> </w:t>
      </w:r>
      <w:r>
        <w:t xml:space="preserve">of</w:t>
      </w:r>
      <w:r>
        <w:t xml:space="preserve"> </w:t>
      </w:r>
      <w:bookmarkStart w:id="39" w:name="page-count"/>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(zhtiopkeij)</dc:title>
  <dc:creator/>
  <dc:description>Detailed Product Carbon Footprint (PCF) analysis report for the Smart Home Hub (zhtiopkeij) manufactured by EcoInnovate Corp. (skmthdrhrl), following GHG Protocol standards and 2026 LSR update.</dc:description>
  <cp:keywords/>
  <dcterms:created xsi:type="dcterms:W3CDTF">2026-07-15T09:49:06Z</dcterms:created>
  <dcterms:modified xsi:type="dcterms:W3CDTF">2026-07-15T09:49:06Z</dcterms:modified>
</cp:coreProperties>
</file>

<file path=docProps/custom.xml><?xml version="1.0" encoding="utf-8"?>
<Properties xmlns="http://schemas.openxmlformats.org/officeDocument/2006/custom-properties" xmlns:vt="http://schemas.openxmlformats.org/officeDocument/2006/docPropsVTypes"/>
</file>