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Hub</w:t>
      </w:r>
      <w:r>
        <w:t xml:space="preserve"> </w:t>
      </w:r>
      <w:r>
        <w:t xml:space="preserve">(yukuuzviix)</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smart-home-hub-yukuuzviix"/>
    <w:p>
      <w:pPr>
        <w:pStyle w:val="Heading2"/>
      </w:pPr>
      <w:r>
        <w:t xml:space="preserve">Product: Smart Home Hub (yukuuzviix)</w:t>
      </w:r>
    </w:p>
    <w:p>
      <w:pPr>
        <w:pStyle w:val="FirstParagraph"/>
      </w:pPr>
      <w:r>
        <w:rPr>
          <w:bCs/>
          <w:b/>
        </w:rPr>
        <w:t xml:space="preserve">Company Name:</w:t>
      </w:r>
      <w:r>
        <w:t xml:space="preserve"> </w:t>
      </w:r>
      <w:r>
        <w:t xml:space="preserve">pvwhrrvylm</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yepusxwflw</w:t>
      </w:r>
    </w:p>
    <w:p>
      <w:pPr>
        <w:pStyle w:val="BodyText"/>
      </w:pPr>
      <w:r>
        <w:t xml:space="preserve">This report is generated based on available data and industry standards. While every effort has been made to ensure accuracy, actual emissions may vary depending on real-world conditions and specific supplier data.</w:t>
      </w:r>
    </w:p>
    <w:bookmarkEnd w:id="20"/>
    <w:bookmarkEnd w:id="21"/>
    <w:bookmarkStart w:id="23" w:name="product-carbon-footprint-analysis"/>
    <w:p>
      <w:pPr>
        <w:pStyle w:val="Heading1"/>
      </w:pPr>
      <w:r>
        <w:t xml:space="preserve">Product Carbon Footprint Analysis</w:t>
      </w:r>
    </w:p>
    <w:bookmarkStart w:id="22" w:name="smart-home-hub-yukuuzviix"/>
    <w:p>
      <w:pPr>
        <w:pStyle w:val="Heading2"/>
      </w:pPr>
      <w:r>
        <w:t xml:space="preserve">Smart Home Hub (yukuuzviix)</w:t>
      </w:r>
    </w:p>
    <w:p>
      <w:pPr>
        <w:pStyle w:val="FirstParagraph"/>
      </w:pPr>
      <w:r>
        <w:t xml:space="preserve">Generated Date: May 29, 2026</w:t>
      </w:r>
    </w:p>
    <w:p>
      <w:pPr>
        <w:pStyle w:val="BodyText"/>
      </w:pPr>
      <w:r>
        <w:t xml:space="preserve">Company: pvwhrrvylm</w:t>
      </w:r>
    </w:p>
    <w:p>
      <w:pPr>
        <w:pStyle w:val="BodyText"/>
      </w:pPr>
      <w:r>
        <w:t xml:space="preserve">Senior Sustainability Consultant: yepusxwflw</w:t>
      </w:r>
    </w:p>
    <w:bookmarkEnd w:id="22"/>
    <w:bookmarkEnd w:id="23"/>
    <w:p>
      <w:r>
        <w:pict>
          <v:rect style="width:0;height:1.5pt" o:hralign="center" o:hrstd="t" o:hr="t"/>
        </w:pict>
      </w:r>
    </w:p>
    <w:bookmarkStart w:id="24" w:name="executive-summary"/>
    <w:p>
      <w:pPr>
        <w:pStyle w:val="Heading2"/>
      </w:pPr>
      <w:r>
        <w:t xml:space="preserve">Executive Summary</w:t>
      </w:r>
    </w:p>
    <w:p>
      <w:pPr>
        <w:pStyle w:val="FirstParagraph"/>
      </w:pPr>
      <w:r>
        <w:t xml:space="preserve">This report presents a high-detail Product Carbon Footprint (PCF) analysis for the Smart Home Hub (yukuuzviix) manufactured by pvwhrrvylm. The analysis, conducted by Senior Sustainability Consultant yepusxwflw, adheres strictly to the GHG Protocol, including the 2026 Land Sector and Removals (LSR) Standard and ensuring at least 95% Scope 3 coverage. The primary goal is to quantify the greenhouse gas emissions across the product\'s lifecycle, identify key emission hotspots, and provide a foundation for strategic decarbonization efforts. The assessment covers materials acquisition, manufacturing, transportation, use phase, and end-of-life scenarios, utilizing specific company data for materials, energy, and logistics.</w:t>
      </w:r>
    </w:p>
    <w:bookmarkEnd w:id="24"/>
    <w:p>
      <w:r>
        <w:pict>
          <v:rect style="width:0;height:1.5pt" o:hralign="center" o:hrstd="t" o:hr="t"/>
        </w:pict>
      </w:r>
    </w:p>
    <w:bookmarkStart w:id="30" w:name="methodology-and-scope-definition"/>
    <w:p>
      <w:pPr>
        <w:pStyle w:val="Heading2"/>
      </w:pPr>
      <w:r>
        <w:t xml:space="preserve">1. Methodology and Scope Definition</w:t>
      </w:r>
    </w:p>
    <w:p>
      <w:pPr>
        <w:pStyle w:val="FirstParagraph"/>
      </w:pPr>
      <w:r>
        <w:t xml:space="preserve">The Product Carbon Footprint (PCF) analysis for the Smart Home Hub (yukuuzviix) follows a comprehensive lifecycle assessment approach in accordance with the GHG Protocol.</w:t>
      </w:r>
    </w:p>
    <w:bookmarkStart w:id="25"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Smart Home Hub (yukuuzviix)</w:t>
      </w:r>
      <w:r>
        <w:t xml:space="preserve">, providing its intended function over its entire lifespan.</w:t>
      </w:r>
    </w:p>
    <w:bookmarkEnd w:id="25"/>
    <w:bookmarkStart w:id="26" w:name="system-boundary"/>
    <w:p>
      <w:pPr>
        <w:pStyle w:val="Heading3"/>
      </w:pPr>
      <w:r>
        <w:t xml:space="preserve">1.2. System Boundary</w:t>
      </w:r>
    </w:p>
    <w:p>
      <w:pPr>
        <w:pStyle w:val="FirstParagraph"/>
      </w:pPr>
      <w:r>
        <w:t xml:space="preserve">The system boundary for this PCF is</w:t>
      </w:r>
      <w:r>
        <w:t xml:space="preserve"> </w:t>
      </w:r>
      <w:r>
        <w:rPr>
          <w:bCs/>
          <w:b/>
        </w:rPr>
        <w:t xml:space="preserve">factory_gate</w:t>
      </w:r>
      <w:r>
        <w:t xml:space="preserve"> </w:t>
      </w:r>
      <w:r>
        <w:t xml:space="preserve">for the primary manufacturing process, extending to cover the full cradle-to-grave lifecycle for comprehensive Scope 3 reporting. This includes:</w:t>
      </w:r>
    </w:p>
    <w:p>
      <w:pPr>
        <w:numPr>
          <w:ilvl w:val="0"/>
          <w:numId w:val="1001"/>
        </w:numPr>
        <w:pStyle w:val="Compact"/>
      </w:pPr>
      <w:r>
        <w:t xml:space="preserve">Materials acquisition and pre-processing (upstream, Scope 3)</w:t>
      </w:r>
    </w:p>
    <w:p>
      <w:pPr>
        <w:numPr>
          <w:ilvl w:val="0"/>
          <w:numId w:val="1001"/>
        </w:numPr>
        <w:pStyle w:val="Compact"/>
      </w:pPr>
      <w:r>
        <w:t xml:space="preserve">Product manufacturing/production (Scope 1 and 2, and upstream Scope 3 for capital goods, waste)</w:t>
      </w:r>
    </w:p>
    <w:p>
      <w:pPr>
        <w:numPr>
          <w:ilvl w:val="0"/>
          <w:numId w:val="1001"/>
        </w:numPr>
        <w:pStyle w:val="Compact"/>
      </w:pPr>
      <w:r>
        <w:t xml:space="preserve">Transportation (inbound logistics for materials, outbound logistics for finished goods, last-mile delivery - Scope 3)</w:t>
      </w:r>
    </w:p>
    <w:p>
      <w:pPr>
        <w:numPr>
          <w:ilvl w:val="0"/>
          <w:numId w:val="1001"/>
        </w:numPr>
        <w:pStyle w:val="Compact"/>
      </w:pPr>
      <w:r>
        <w:t xml:space="preserve">Use phase (product operation by consumers - Scope 3)</w:t>
      </w:r>
    </w:p>
    <w:p>
      <w:pPr>
        <w:numPr>
          <w:ilvl w:val="0"/>
          <w:numId w:val="1001"/>
        </w:numPr>
        <w:pStyle w:val="Compact"/>
      </w:pPr>
      <w:r>
        <w:t xml:space="preserve">End-of-life treatment (disposal or recycling - Scope 3)</w:t>
      </w:r>
    </w:p>
    <w:bookmarkEnd w:id="26"/>
    <w:bookmarkStart w:id="27" w:name="geographic-scope"/>
    <w:p>
      <w:pPr>
        <w:pStyle w:val="Heading3"/>
      </w:pPr>
      <w:r>
        <w:t xml:space="preserve">1.3. Geographic Scope</w:t>
      </w:r>
    </w:p>
    <w:p>
      <w:pPr>
        <w:pStyle w:val="FirstParagraph"/>
      </w:pPr>
      <w:r>
        <w:t xml:space="preserve">The geographic scope of the analysis is focused on:</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upstream material sourcing)</w:t>
      </w:r>
    </w:p>
    <w:bookmarkEnd w:id="27"/>
    <w:bookmarkStart w:id="28" w:name="accounting-standard"/>
    <w:p>
      <w:pPr>
        <w:pStyle w:val="Heading3"/>
      </w:pPr>
      <w:r>
        <w:t xml:space="preserve">1.4. Accounting Standard</w:t>
      </w:r>
    </w:p>
    <w:p>
      <w:pPr>
        <w:pStyle w:val="FirstParagraph"/>
      </w:pPr>
      <w:r>
        <w:t xml:space="preserve">This report strictly adheres to the</w:t>
      </w:r>
      <w:r>
        <w:t xml:space="preserve"> </w:t>
      </w:r>
      <w:r>
        <w:rPr>
          <w:bCs/>
          <w:b/>
        </w:rPr>
        <w:t xml:space="preserve">GHG Protocol</w:t>
      </w:r>
      <w:r>
        <w:t xml:space="preserve"> </w:t>
      </w:r>
      <w:r>
        <w:t xml:space="preserve">standards for corporate value chain (Scope 3) accounting and product lifecycle accounting.</w:t>
      </w:r>
    </w:p>
    <w:p>
      <w:pPr>
        <w:pStyle w:val="BodyText"/>
      </w:pPr>
      <w:r>
        <w:t xml:space="preserve">Key considerations under the GHG Protocol include:</w:t>
      </w:r>
    </w:p>
    <w:p>
      <w:pPr>
        <w:numPr>
          <w:ilvl w:val="0"/>
          <w:numId w:val="1003"/>
        </w:numPr>
        <w:pStyle w:val="Compact"/>
      </w:pPr>
      <w:r>
        <w:t xml:space="preserve">Categorization of emissions into Scope 1 (direct), Scope 2 (purchased energy), and Scope 3 (value chain).</w:t>
      </w:r>
    </w:p>
    <w:p>
      <w:pPr>
        <w:numPr>
          <w:ilvl w:val="0"/>
          <w:numId w:val="1003"/>
        </w:numPr>
        <w:pStyle w:val="Compact"/>
      </w:pPr>
      <w:r>
        <w:t xml:space="preserve">Application of the</w:t>
      </w:r>
      <w:r>
        <w:t xml:space="preserve"> </w:t>
      </w:r>
      <w:r>
        <w:rPr>
          <w:bCs/>
          <w:b/>
        </w:rPr>
        <w:t xml:space="preserve">2026 Land Sector and Removals (LSR) Standard</w:t>
      </w:r>
      <w:r>
        <w:t xml:space="preserve"> </w:t>
      </w:r>
      <w:r>
        <w:t xml:space="preserve">for relevant land use and carbon removals. While direct land use changes for this product are not significant, any upstream or downstream impacts related to biomass or land-intensive processes are considered.</w:t>
      </w:r>
    </w:p>
    <w:p>
      <w:pPr>
        <w:numPr>
          <w:ilvl w:val="0"/>
          <w:numId w:val="1003"/>
        </w:numPr>
        <w:pStyle w:val="Compact"/>
      </w:pPr>
      <w:r>
        <w:t xml:space="preserve">Ensuring at least</w:t>
      </w:r>
      <w:r>
        <w:t xml:space="preserve"> </w:t>
      </w:r>
      <w:r>
        <w:rPr>
          <w:bCs/>
          <w:b/>
        </w:rPr>
        <w:t xml:space="preserve">95% coverage for Scope 3 reporting</w:t>
      </w:r>
      <w:r>
        <w:t xml:space="preserve">, as mandated by 2026 requirements, through detailed data collection and robust estimation methods for all relevant value chain activities.</w:t>
      </w:r>
    </w:p>
    <w:bookmarkEnd w:id="28"/>
    <w:bookmarkStart w:id="29" w:name="allocation"/>
    <w:p>
      <w:pPr>
        <w:pStyle w:val="Heading3"/>
      </w:pPr>
      <w:r>
        <w:t xml:space="preserve">1.5. Allocation</w:t>
      </w:r>
    </w:p>
    <w:p>
      <w:pPr>
        <w:pStyle w:val="FirstParagraph"/>
      </w:pPr>
      <w:r>
        <w:t xml:space="preserve">Emissions are allocated to the functional unit based on mass and economic allocation principles where co-products or multi-functional processes are involved. For shared transport, emissions are allocated based on the mass of the product relative to the total payload and distance travelled.</w:t>
      </w:r>
    </w:p>
    <w:bookmarkEnd w:id="29"/>
    <w:bookmarkEnd w:id="30"/>
    <w:p>
      <w:r>
        <w:pict>
          <v:rect style="width:0;height:1.5pt" o:hralign="center" o:hrstd="t" o:hr="t"/>
        </w:pict>
      </w:r>
    </w:p>
    <w:bookmarkStart w:id="36" w:name="lifecycle-mapping-lci-inventory-stages"/>
    <w:p>
      <w:pPr>
        <w:pStyle w:val="Heading2"/>
      </w:pPr>
      <w:r>
        <w:t xml:space="preserve">2. Lifecycle Mapping (LCI Inventory Stages)</w:t>
      </w:r>
    </w:p>
    <w:p>
      <w:pPr>
        <w:pStyle w:val="FirstParagraph"/>
      </w:pPr>
      <w:r>
        <w:t xml:space="preserve">The lifecycle of the Smart Home Hub (yukuuzviix) is mapped across five main stages:</w:t>
      </w:r>
    </w:p>
    <w:bookmarkStart w:id="31" w:name="X42984589bc08a93d9666103b0cd962437503d63"/>
    <w:p>
      <w:pPr>
        <w:pStyle w:val="Heading3"/>
      </w:pPr>
      <w:r>
        <w:t xml:space="preserve">2.1. Materials Acquisition &amp; Pre-processing (Upstream)</w:t>
      </w:r>
    </w:p>
    <w:p>
      <w:pPr>
        <w:pStyle w:val="FirstParagraph"/>
      </w:pPr>
      <w:r>
        <w:t xml:space="preserve">This stage includes the extraction of raw materials, initial processing (e.g., plastic polymerization, metal smelting, component manufacturing), and transport of these materials to the manufacturing facility.</w:t>
      </w:r>
    </w:p>
    <w:bookmarkEnd w:id="31"/>
    <w:bookmarkStart w:id="32" w:name="manufacturingproduction"/>
    <w:p>
      <w:pPr>
        <w:pStyle w:val="Heading3"/>
      </w:pPr>
      <w:r>
        <w:t xml:space="preserve">2.2. Manufacturing/Production</w:t>
      </w:r>
    </w:p>
    <w:p>
      <w:pPr>
        <w:pStyle w:val="FirstParagraph"/>
      </w:pPr>
      <w:r>
        <w:t xml:space="preserve">This stage covers the energy consumed and processes involved in assembling and fabricating the Smart Home Hub at the pvwhrrvylm facility in China. This includes injection molding for plastic parts, stamping for metal frames, and electronic assembly for circuit boards.</w:t>
      </w:r>
    </w:p>
    <w:bookmarkEnd w:id="32"/>
    <w:bookmarkStart w:id="33" w:name="transport-logistics"/>
    <w:p>
      <w:pPr>
        <w:pStyle w:val="Heading3"/>
      </w:pPr>
      <w:r>
        <w:t xml:space="preserve">2.3. Transport (Logistics)</w:t>
      </w:r>
    </w:p>
    <w:p>
      <w:pPr>
        <w:numPr>
          <w:ilvl w:val="0"/>
          <w:numId w:val="1004"/>
        </w:numPr>
        <w:pStyle w:val="Compact"/>
      </w:pPr>
      <w:r>
        <w:rPr>
          <w:bCs/>
          <w:b/>
        </w:rPr>
        <w:t xml:space="preserve">Inbound Logistics:</w:t>
      </w:r>
      <w:r>
        <w:t xml:space="preserve"> </w:t>
      </w:r>
      <w:r>
        <w:t xml:space="preserve">Transportation of raw materials and components from Europe-focused supply chain to the manufacturing facility in China.</w:t>
      </w:r>
    </w:p>
    <w:p>
      <w:pPr>
        <w:numPr>
          <w:ilvl w:val="0"/>
          <w:numId w:val="1004"/>
        </w:numPr>
        <w:pStyle w:val="Compact"/>
      </w:pPr>
      <w:r>
        <w:rPr>
          <w:bCs/>
          <w:b/>
        </w:rPr>
        <w:t xml:space="preserve">Outbound Logistics:</w:t>
      </w:r>
      <w:r>
        <w:t xml:space="preserve"> </w:t>
      </w:r>
      <w:r>
        <w:t xml:space="preserve">Transportation of the finished Smart Home Hub from the factory gate in China to regional distribution centers.</w:t>
      </w:r>
    </w:p>
    <w:p>
      <w:pPr>
        <w:numPr>
          <w:ilvl w:val="0"/>
          <w:numId w:val="1004"/>
        </w:numPr>
        <w:pStyle w:val="Compact"/>
      </w:pPr>
      <w:r>
        <w:rPr>
          <w:bCs/>
          <w:b/>
        </w:rPr>
        <w:t xml:space="preserve">Last-Mile Delivery:</w:t>
      </w:r>
      <w:r>
        <w:t xml:space="preserve"> </w:t>
      </w:r>
      <w:r>
        <w:t xml:space="preserve">Final delivery of the product from regional distribution centers to the end-consumer.</w:t>
      </w:r>
    </w:p>
    <w:bookmarkEnd w:id="33"/>
    <w:bookmarkStart w:id="34" w:name="use-phase"/>
    <w:p>
      <w:pPr>
        <w:pStyle w:val="Heading3"/>
      </w:pPr>
      <w:r>
        <w:t xml:space="preserve">2.4. Use Phase</w:t>
      </w:r>
    </w:p>
    <w:p>
      <w:pPr>
        <w:pStyle w:val="FirstParagraph"/>
      </w:pPr>
      <w:r>
        <w:t xml:space="preserve">This phase accounts for the energy consumed by the Smart Home Hub during its operational lifespan by the end-user.</w:t>
      </w:r>
    </w:p>
    <w:bookmarkEnd w:id="34"/>
    <w:bookmarkStart w:id="35" w:name="end-of-life-eol"/>
    <w:p>
      <w:pPr>
        <w:pStyle w:val="Heading3"/>
      </w:pPr>
      <w:r>
        <w:t xml:space="preserve">2.5. End-of-Life (EoL)</w:t>
      </w:r>
    </w:p>
    <w:p>
      <w:pPr>
        <w:pStyle w:val="FirstParagraph"/>
      </w:pPr>
      <w:r>
        <w:t xml:space="preserve">This stage covers the emissions associated with the disposal or recycling of the product at the end of its functional life. Circular economy impacts, such as recyclability and take-back programs, are considered here.</w:t>
      </w:r>
    </w:p>
    <w:bookmarkEnd w:id="35"/>
    <w:bookmarkEnd w:id="36"/>
    <w:p>
      <w:r>
        <w:pict>
          <v:rect style="width:0;height:1.5pt" o:hralign="center" o:hrstd="t" o:hr="t"/>
        </w:pict>
      </w:r>
    </w:p>
    <w:bookmarkStart w:id="42" w:name="data-collection"/>
    <w:p>
      <w:pPr>
        <w:pStyle w:val="Heading2"/>
      </w:pPr>
      <w:r>
        <w:t xml:space="preserve">3. Data Collection</w:t>
      </w:r>
    </w:p>
    <w:p>
      <w:pPr>
        <w:pStyle w:val="FirstParagraph"/>
      </w:pPr>
      <w:r>
        <w:t xml:space="preserve">Both primary and secondary data sources were utilized for this analysis. Primary data was provided by pvwhrrvylm and specific parameters, while secondary data consists of industry-standard emission factors.</w:t>
      </w:r>
    </w:p>
    <w:bookmarkStart w:id="39" w:name="X391969c12b361d5fea7d01fb950658207869757"/>
    <w:p>
      <w:pPr>
        <w:pStyle w:val="Heading3"/>
      </w:pPr>
      <w:r>
        <w:t xml:space="preserve">3.1. Detailed Bill of Materials (BOM) for yukuuzviix</w:t>
      </w:r>
    </w:p>
    <w:p>
      <w:pPr>
        <w:pStyle w:val="FirstParagraph"/>
      </w:pPr>
      <w:r>
        <w:t xml:space="preserve">The following Bill of Materials (BOM) was used for high-accuracy material impact calculations. The "Total Carbon" value for each item is directly used in the calculations.</w:t>
      </w:r>
    </w:p>
    <w:bookmarkStart w:id="37" w:name="raw-bom-data"/>
    <w:p>
      <w:pPr>
        <w:pStyle w:val="SourceCode"/>
      </w:pPr>
      <w:r>
        <w:rPr>
          <w:rStyle w:val="VerbatimChar"/>
        </w:rPr>
        <w:t xml:space="preserve">1,Plastic Casing,Plastics,Injection Molding,0.2,kg,3.0,0.6;2,Metal Frame,Metals,Stamping,0.1,kg,5.0,0.5;3,Circuit Board,Electronics,Assembly,0.05,unit,20.0,1.0;4,Packaging,Paper,Folding,0.01,kg,1.5,0.015</w:t>
      </w:r>
    </w:p>
    <w:bookmarkEnd w:id="37"/>
    <w:bookmarkStart w:id="38" w:name="bom-table"/>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(kgCO₂e/Unit)</w:t>
            </w:r>
          </w:p>
        </w:tc>
        <w:tc>
          <w:tcPr/>
          <w:p>
            <w:pPr>
              <w:pStyle w:val="Compact"/>
              <w:jc w:val="left"/>
            </w:pPr>
            <w:r>
              <w:t xml:space="preserve">Total Carbon (kgCO₂e)</w:t>
            </w:r>
          </w:p>
        </w:tc>
      </w:tr>
    </w:tbl>
    <w:bookmarkEnd w:id="38"/>
    <w:bookmarkEnd w:id="39"/>
    <w:bookmarkStart w:id="40" w:name="customization-parameters-data-points"/>
    <w:p>
      <w:pPr>
        <w:pStyle w:val="Heading3"/>
      </w:pPr>
      <w:r>
        <w:t xml:space="preserve">3.2. Customization Parameters &amp; Data Points</w:t>
      </w:r>
    </w:p>
    <w:p>
      <w:pPr>
        <w:numPr>
          <w:ilvl w:val="0"/>
          <w:numId w:val="1005"/>
        </w:numPr>
        <w:pStyle w:val="Compact"/>
      </w:pPr>
      <w:r>
        <w:rPr>
          <w:bCs/>
          <w:b/>
        </w:rPr>
        <w:t xml:space="preserve">Company Name:</w:t>
      </w:r>
      <w:r>
        <w:t xml:space="preserve"> </w:t>
      </w:r>
      <w:r>
        <w:t xml:space="preserve">pvwhrrvylm</w:t>
      </w:r>
    </w:p>
    <w:p>
      <w:pPr>
        <w:numPr>
          <w:ilvl w:val="0"/>
          <w:numId w:val="1005"/>
        </w:numPr>
        <w:pStyle w:val="Compact"/>
      </w:pPr>
      <w:r>
        <w:rPr>
          <w:bCs/>
          <w:b/>
        </w:rPr>
        <w:t xml:space="preserve">Product Name:</w:t>
      </w:r>
      <w:r>
        <w:t xml:space="preserve"> </w:t>
      </w:r>
      <w:r>
        <w:t xml:space="preserve">Smart Home Hub (yukuuzviix)</w:t>
      </w:r>
    </w:p>
    <w:p>
      <w:pPr>
        <w:numPr>
          <w:ilvl w:val="0"/>
          <w:numId w:val="1005"/>
        </w:numPr>
        <w:pStyle w:val="Compact"/>
      </w:pPr>
      <w:r>
        <w:rPr>
          <w:bCs/>
          <w:b/>
        </w:rPr>
        <w:t xml:space="preserve">Senior Sustainability Consultant:</w:t>
      </w:r>
      <w:r>
        <w:t xml:space="preserve"> </w:t>
      </w:r>
      <w:r>
        <w:t xml:space="preserve">yepusxwflw</w:t>
      </w:r>
    </w:p>
    <w:p>
      <w:pPr>
        <w:numPr>
          <w:ilvl w:val="0"/>
          <w:numId w:val="1005"/>
        </w:numPr>
        <w:pStyle w:val="Compact"/>
      </w:pPr>
      <w:r>
        <w:rPr>
          <w:bCs/>
          <w:b/>
        </w:rPr>
        <w:t xml:space="preserve">Transport Mode (Inbound):</w:t>
      </w:r>
      <w:r>
        <w:t xml:space="preserve"> </w:t>
      </w:r>
      <w:r>
        <w:t xml:space="preserve">Ocean Freight (container) - assumed for Europe to China transport.</w:t>
      </w:r>
    </w:p>
    <w:p>
      <w:pPr>
        <w:numPr>
          <w:ilvl w:val="0"/>
          <w:numId w:val="1005"/>
        </w:numPr>
        <w:pStyle w:val="Compact"/>
      </w:pPr>
      <w:r>
        <w:rPr>
          <w:bCs/>
          <w:b/>
        </w:rPr>
        <w:t xml:space="preserve">Transport Mode (Outbound):</w:t>
      </w:r>
      <w:r>
        <w:t xml:space="preserve"> </w:t>
      </w:r>
      <w:r>
        <w:t xml:space="preserve">Road Freight (HGV, &gt;16t) for primary distribution.</w:t>
      </w:r>
    </w:p>
    <w:p>
      <w:pPr>
        <w:numPr>
          <w:ilvl w:val="0"/>
          <w:numId w:val="1005"/>
        </w:numPr>
        <w:pStyle w:val="Compact"/>
      </w:pPr>
      <w:r>
        <w:rPr>
          <w:bCs/>
          <w:b/>
        </w:rPr>
        <w:t xml:space="preserve">Transport Distance (Inbound):</w:t>
      </w:r>
      <w:r>
        <w:t xml:space="preserve"> </w:t>
      </w:r>
      <w:r>
        <w:t xml:space="preserve">Assumed 15,000 km (Europe to China via ocean freight).</w:t>
      </w:r>
    </w:p>
    <w:p>
      <w:pPr>
        <w:numPr>
          <w:ilvl w:val="0"/>
          <w:numId w:val="1005"/>
        </w:numPr>
        <w:pStyle w:val="Compact"/>
      </w:pPr>
      <w:r>
        <w:rPr>
          <w:bCs/>
          <w:b/>
        </w:rPr>
        <w:t xml:space="preserve">Transport Distance (Outbound):</w:t>
      </w:r>
      <w:r>
        <w:t xml:space="preserve"> </w:t>
      </w:r>
      <w:r>
        <w:t xml:space="preserve">oxgruntxyj (500 km) for distribution to regional hubs.</w:t>
      </w:r>
    </w:p>
    <w:p>
      <w:pPr>
        <w:numPr>
          <w:ilvl w:val="0"/>
          <w:numId w:val="1005"/>
        </w:numPr>
        <w:pStyle w:val="Compact"/>
      </w:pPr>
      <w:r>
        <w:rPr>
          <w:bCs/>
          <w:b/>
        </w:rPr>
        <w:t xml:space="preserve">Last-Mile Delivery Channel:</w:t>
      </w:r>
      <w:r>
        <w:t xml:space="preserve"> </w:t>
      </w:r>
      <w:r>
        <w:t xml:space="preserve">Delivery Type (Parcel Post - Van).</w:t>
      </w:r>
    </w:p>
    <w:p>
      <w:pPr>
        <w:numPr>
          <w:ilvl w:val="0"/>
          <w:numId w:val="1005"/>
        </w:numPr>
        <w:pStyle w:val="Compact"/>
      </w:pPr>
      <w:r>
        <w:rPr>
          <w:bCs/>
          <w:b/>
        </w:rPr>
        <w:t xml:space="preserve">Renewable Energy Usage (Production):</w:t>
      </w:r>
      <w:r>
        <w:t xml:space="preserve"> </w:t>
      </w:r>
      <w:r>
        <w:t xml:space="preserve">xwxtugwfwg (60%)</w:t>
      </w:r>
    </w:p>
    <w:p>
      <w:pPr>
        <w:numPr>
          <w:ilvl w:val="0"/>
          <w:numId w:val="1005"/>
        </w:numPr>
        <w:pStyle w:val="Compact"/>
      </w:pPr>
      <w:r>
        <w:rPr>
          <w:bCs/>
          <w:b/>
        </w:rPr>
        <w:t xml:space="preserve">Energy Intensity (Production):</w:t>
      </w:r>
      <w:r>
        <w:t xml:space="preserve"> </w:t>
      </w:r>
      <w:r>
        <w:t xml:space="preserve">otnjrmelgx (12 kWh/unit)</w:t>
      </w:r>
    </w:p>
    <w:p>
      <w:pPr>
        <w:numPr>
          <w:ilvl w:val="0"/>
          <w:numId w:val="1005"/>
        </w:numPr>
        <w:pStyle w:val="Compact"/>
      </w:pPr>
      <w:r>
        <w:rPr>
          <w:bCs/>
          <w:b/>
        </w:rPr>
        <w:t xml:space="preserve">Product Lifespan:</w:t>
      </w:r>
      <w:r>
        <w:t xml:space="preserve"> </w:t>
      </w:r>
      <w:r>
        <w:t xml:space="preserve">ruddofowrv (7 years)</w:t>
      </w:r>
    </w:p>
    <w:p>
      <w:pPr>
        <w:numPr>
          <w:ilvl w:val="0"/>
          <w:numId w:val="1005"/>
        </w:numPr>
        <w:pStyle w:val="Compact"/>
      </w:pPr>
      <w:r>
        <w:rPr>
          <w:bCs/>
          <w:b/>
        </w:rPr>
        <w:t xml:space="preserve">Energy Consumption in Use:</w:t>
      </w:r>
      <w:r>
        <w:t xml:space="preserve"> </w:t>
      </w:r>
      <w:r>
        <w:t xml:space="preserve">swyfkuifjx (0.03 kWh/day)</w:t>
      </w:r>
    </w:p>
    <w:p>
      <w:pPr>
        <w:numPr>
          <w:ilvl w:val="0"/>
          <w:numId w:val="1005"/>
        </w:numPr>
        <w:pStyle w:val="Compact"/>
      </w:pPr>
      <w:r>
        <w:rPr>
          <w:bCs/>
          <w:b/>
        </w:rPr>
        <w:t xml:space="preserve">Recyclability Percentage:</w:t>
      </w:r>
      <w:r>
        <w:t xml:space="preserve"> </w:t>
      </w:r>
      <w:r>
        <w:t xml:space="preserve">tfogrwgkom (85%)</w:t>
      </w:r>
    </w:p>
    <w:p>
      <w:pPr>
        <w:numPr>
          <w:ilvl w:val="0"/>
          <w:numId w:val="1005"/>
        </w:numPr>
        <w:pStyle w:val="Compact"/>
      </w:pPr>
      <w:r>
        <w:rPr>
          <w:bCs/>
          <w:b/>
        </w:rPr>
        <w:t xml:space="preserve">Circular/Take-back Programs:</w:t>
      </w:r>
      <w:r>
        <w:t xml:space="preserve"> </w:t>
      </w:r>
      <w:r>
        <w:t xml:space="preserve">xxfhkdyqkf (Yes, InnovateTech Product Renewal Program)</w:t>
      </w:r>
    </w:p>
    <w:p>
      <w:pPr>
        <w:numPr>
          <w:ilvl w:val="0"/>
          <w:numId w:val="1005"/>
        </w:numPr>
        <w:pStyle w:val="Compact"/>
      </w:pPr>
      <w:r>
        <w:rPr>
          <w:bCs/>
          <w:b/>
        </w:rPr>
        <w:t xml:space="preserve">Functional Unit:</w:t>
      </w:r>
      <w:r>
        <w:t xml:space="preserve"> </w:t>
      </w:r>
      <w:r>
        <w:t xml:space="preserve">1.0 unit</w:t>
      </w:r>
    </w:p>
    <w:p>
      <w:pPr>
        <w:numPr>
          <w:ilvl w:val="0"/>
          <w:numId w:val="1005"/>
        </w:numPr>
        <w:pStyle w:val="Compact"/>
      </w:pPr>
      <w:r>
        <w:rPr>
          <w:bCs/>
          <w:b/>
        </w:rPr>
        <w:t xml:space="preserve">System Boundary:</w:t>
      </w:r>
      <w:r>
        <w:t xml:space="preserve"> </w:t>
      </w:r>
      <w:r>
        <w:t xml:space="preserve">factory_gate (cradle-to-grave)</w:t>
      </w:r>
    </w:p>
    <w:p>
      <w:pPr>
        <w:numPr>
          <w:ilvl w:val="0"/>
          <w:numId w:val="1005"/>
        </w:numPr>
        <w:pStyle w:val="Compact"/>
      </w:pPr>
      <w:r>
        <w:rPr>
          <w:bCs/>
          <w:b/>
        </w:rPr>
        <w:t xml:space="preserve">Geographic Scope:</w:t>
      </w:r>
      <w:r>
        <w:t xml:space="preserve"> </w:t>
      </w:r>
      <w:r>
        <w:t xml:space="preserve">Final Production Country: China, Supply Chain Focus: Europe Focused</w:t>
      </w:r>
    </w:p>
    <w:p>
      <w:pPr>
        <w:numPr>
          <w:ilvl w:val="0"/>
          <w:numId w:val="1005"/>
        </w:numPr>
        <w:pStyle w:val="Compact"/>
      </w:pPr>
      <w:r>
        <w:rPr>
          <w:bCs/>
          <w:b/>
        </w:rPr>
        <w:t xml:space="preserve">Accounting Standard:</w:t>
      </w:r>
      <w:r>
        <w:t xml:space="preserve"> </w:t>
      </w:r>
      <w:r>
        <w:t xml:space="preserve">GHG Protocol</w:t>
      </w:r>
    </w:p>
    <w:bookmarkEnd w:id="40"/>
    <w:bookmarkStart w:id="41" w:name="emission-factors-secondary-data"/>
    <w:p>
      <w:pPr>
        <w:pStyle w:val="Heading3"/>
      </w:pPr>
      <w:r>
        <w:t xml:space="preserve">3.3. Emission Factors (Secondary Data)</w:t>
      </w:r>
    </w:p>
    <w:p>
      <w:pPr>
        <w:pStyle w:val="FirstParagraph"/>
      </w:pPr>
      <w:r>
        <w:t xml:space="preserve">Industry-standard emission factors from recognized databases (e.g., DEFRA, Ecoinvent) were used where primary data was unavailable. All emission factors are presented in kgCO₂e unless otherwise specified.</w:t>
      </w:r>
    </w:p>
    <w:p>
      <w:pPr>
        <w:numPr>
          <w:ilvl w:val="0"/>
          <w:numId w:val="1006"/>
        </w:numPr>
        <w:pStyle w:val="Compact"/>
      </w:pPr>
      <w:r>
        <w:rPr>
          <w:bCs/>
          <w:b/>
        </w:rPr>
        <w:t xml:space="preserve">Electricity Grid (China):</w:t>
      </w:r>
      <w:r>
        <w:t xml:space="preserve"> </w:t>
      </w:r>
      <w:r>
        <w:t xml:space="preserve">0.5568 kgCO₂e/kWh (Ministry of Ecology and Environment of China 2021).</w:t>
      </w:r>
    </w:p>
    <w:p>
      <w:pPr>
        <w:numPr>
          <w:ilvl w:val="0"/>
          <w:numId w:val="1006"/>
        </w:numPr>
        <w:pStyle w:val="Compact"/>
      </w:pPr>
      <w:r>
        <w:rPr>
          <w:bCs/>
          <w:b/>
        </w:rPr>
        <w:t xml:space="preserve">Electricity Grid (Global Average for Use Phase):</w:t>
      </w:r>
      <w:r>
        <w:t xml:space="preserve"> </w:t>
      </w:r>
      <w:r>
        <w:t xml:space="preserve">0.400 kgCO₂e/kWh (IEA forecast 2027).</w:t>
      </w:r>
    </w:p>
    <w:p>
      <w:pPr>
        <w:numPr>
          <w:ilvl w:val="0"/>
          <w:numId w:val="1006"/>
        </w:numPr>
        <w:pStyle w:val="Compact"/>
      </w:pPr>
      <w:r>
        <w:rPr>
          <w:bCs/>
          <w:b/>
        </w:rPr>
        <w:t xml:space="preserve">Ocean Freight (Container):</w:t>
      </w:r>
      <w:r>
        <w:t xml:space="preserve"> </w:t>
      </w:r>
      <w:r>
        <w:t xml:space="preserve">0.016 kgCO₂e/tkm (DEFRA/DESNZ 2025 average).</w:t>
      </w:r>
    </w:p>
    <w:p>
      <w:pPr>
        <w:numPr>
          <w:ilvl w:val="0"/>
          <w:numId w:val="1006"/>
        </w:numPr>
        <w:pStyle w:val="Compact"/>
      </w:pPr>
      <w:r>
        <w:rPr>
          <w:bCs/>
          <w:b/>
        </w:rPr>
        <w:t xml:space="preserve">Road Freight (HGV, &gt;16t):</w:t>
      </w:r>
      <w:r>
        <w:t xml:space="preserve"> </w:t>
      </w:r>
      <w:r>
        <w:t xml:space="preserve">0.062 kgCO₂e/tkm (Average recommended by McKinnon, based on European sources).</w:t>
      </w:r>
    </w:p>
    <w:p>
      <w:pPr>
        <w:numPr>
          <w:ilvl w:val="0"/>
          <w:numId w:val="1006"/>
        </w:numPr>
        <w:pStyle w:val="Compact"/>
      </w:pPr>
      <w:r>
        <w:rPr>
          <w:bCs/>
          <w:b/>
        </w:rPr>
        <w:t xml:space="preserve">Parcel Post (Van):</w:t>
      </w:r>
      <w:r>
        <w:t xml:space="preserve"> </w:t>
      </w:r>
      <w:r>
        <w:t xml:space="preserve">0.24934 kgCO₂e/km (Average van, up to 3.5 tonnes).</w:t>
      </w:r>
    </w:p>
    <w:p>
      <w:pPr>
        <w:numPr>
          <w:ilvl w:val="0"/>
          <w:numId w:val="1006"/>
        </w:numPr>
        <w:pStyle w:val="Compact"/>
      </w:pPr>
      <w:r>
        <w:rPr>
          <w:bCs/>
          <w:b/>
        </w:rPr>
        <w:t xml:space="preserve">Avoided Emissions - Plastic Recycling:</w:t>
      </w:r>
      <w:r>
        <w:t xml:space="preserve"> </w:t>
      </w:r>
      <w:r>
        <w:t xml:space="preserve">1.2 kgCO₂e/kg (Recycling emission reduction factor for mixed plastics).</w:t>
      </w:r>
    </w:p>
    <w:p>
      <w:pPr>
        <w:numPr>
          <w:ilvl w:val="0"/>
          <w:numId w:val="1006"/>
        </w:numPr>
        <w:pStyle w:val="Compact"/>
      </w:pPr>
      <w:r>
        <w:rPr>
          <w:bCs/>
          <w:b/>
        </w:rPr>
        <w:t xml:space="preserve">Avoided Emissions - Metal Recycling:</w:t>
      </w:r>
      <w:r>
        <w:t xml:space="preserve"> </w:t>
      </w:r>
      <w:r>
        <w:t xml:space="preserve">1.5 kgCO₂e/kg (Conservative average, acknowledging higher for Aluminum, lower for Steel).</w:t>
      </w:r>
    </w:p>
    <w:p>
      <w:pPr>
        <w:numPr>
          <w:ilvl w:val="0"/>
          <w:numId w:val="1006"/>
        </w:numPr>
        <w:pStyle w:val="Compact"/>
      </w:pPr>
      <w:r>
        <w:rPr>
          <w:bCs/>
          <w:b/>
        </w:rPr>
        <w:t xml:space="preserve">Avoided Emissions - Paper Recycling:</w:t>
      </w:r>
      <w:r>
        <w:t xml:space="preserve"> </w:t>
      </w:r>
      <w:r>
        <w:t xml:space="preserve">0.88 kgCO₂e/kg (Positive environmental impact from recycling paper).</w:t>
      </w:r>
    </w:p>
    <w:p>
      <w:pPr>
        <w:numPr>
          <w:ilvl w:val="0"/>
          <w:numId w:val="1006"/>
        </w:numPr>
        <w:pStyle w:val="Compact"/>
      </w:pPr>
      <w:r>
        <w:rPr>
          <w:bCs/>
          <w:b/>
        </w:rPr>
        <w:t xml:space="preserve">Landfill Emissions - Non-Recycled Materials (General):</w:t>
      </w:r>
      <w:r>
        <w:t xml:space="preserve"> </w:t>
      </w:r>
      <w:r>
        <w:t xml:space="preserve">Assumed 0.033 kgCO₂e/kg for plastic, other materials assumed negligible direct landfill emissions, focusing on recycling benefits.</w:t>
      </w:r>
    </w:p>
    <w:bookmarkEnd w:id="41"/>
    <w:bookmarkEnd w:id="42"/>
    <w:p>
      <w:r>
        <w:pict>
          <v:rect style="width:0;height:1.5pt" o:hralign="center" o:hrstd="t" o:hr="t"/>
        </w:pict>
      </w:r>
    </w:p>
    <w:bookmarkStart w:id="64" w:name="Xe37424a356285c2cafc0e8c8be92b8ce5257a47"/>
    <w:p>
      <w:pPr>
        <w:pStyle w:val="Heading2"/>
      </w:pPr>
      <w:r>
        <w:t xml:space="preserve">4. Emissions Calculation (Activity * Emission Factor = CO₂e)</w:t>
      </w:r>
    </w:p>
    <w:p>
      <w:pPr>
        <w:pStyle w:val="FirstParagraph"/>
      </w:pPr>
      <w:r>
        <w:t xml:space="preserve">The emissions are calculated for each lifecycle stage and categorized according to the GHG Protocol Scopes.</w:t>
      </w:r>
    </w:p>
    <w:bookmarkStart w:id="43" w:name="scope-1-emissions-direct-emissions"/>
    <w:p>
      <w:pPr>
        <w:pStyle w:val="Heading3"/>
      </w:pPr>
      <w:r>
        <w:t xml:space="preserve">4.1. Scope 1 Emissions (Direct Emissions)</w:t>
      </w:r>
    </w:p>
    <w:p>
      <w:pPr>
        <w:pStyle w:val="FirstParagraph"/>
      </w:pPr>
      <w:r>
        <w:t xml:space="preserve">No direct fuel combustion on-site by pvwhrrvylm is explicitly indicated in the parameters. Therefore, Scope 1 emissions are considered negligible for the direct manufacturing process for this product PCF, or are captured indirectly through Scope 3 for energy generation at the utility.</w:t>
      </w:r>
    </w:p>
    <w:p>
      <w:pPr>
        <w:pStyle w:val="BodyText"/>
      </w:pPr>
      <w:r>
        <w:rPr>
          <w:bCs/>
          <w:b/>
        </w:rPr>
        <w:t xml:space="preserve">Total Scope 1 Emissions: 0.00 kgCO₂e</w:t>
      </w:r>
    </w:p>
    <w:bookmarkEnd w:id="43"/>
    <w:bookmarkStart w:id="44" w:name="scope-2-emissions-purchased-electricity"/>
    <w:p>
      <w:pPr>
        <w:pStyle w:val="Heading3"/>
      </w:pPr>
      <w:r>
        <w:t xml:space="preserve">4.2. Scope 2 Emissions (Purchased Electricity)</w:t>
      </w:r>
    </w:p>
    <w:p>
      <w:pPr>
        <w:pStyle w:val="FirstParagraph"/>
      </w:pPr>
      <w:r>
        <w:t xml:space="preserve">These emissions are from electricity purchased for the manufacturing process at the China facility.</w:t>
      </w:r>
    </w:p>
    <w:p>
      <w:pPr>
        <w:numPr>
          <w:ilvl w:val="0"/>
          <w:numId w:val="1007"/>
        </w:numPr>
        <w:pStyle w:val="Compact"/>
      </w:pPr>
      <w:r>
        <w:t xml:space="preserve">Energy Intensity: 12 kWh/unit [cite: otnjrmelgx]</w:t>
      </w:r>
    </w:p>
    <w:p>
      <w:pPr>
        <w:numPr>
          <w:ilvl w:val="0"/>
          <w:numId w:val="1007"/>
        </w:numPr>
        <w:pStyle w:val="Compact"/>
      </w:pPr>
      <w:r>
        <w:t xml:space="preserve">Renewable Energy Usage: 60% [cite: xwxtugwfwg]</w:t>
      </w:r>
    </w:p>
    <w:p>
      <w:pPr>
        <w:numPr>
          <w:ilvl w:val="0"/>
          <w:numId w:val="1007"/>
        </w:numPr>
        <w:pStyle w:val="Compact"/>
      </w:pPr>
      <w:r>
        <w:t xml:space="preserve">Non-Renewable Energy Usage: 100% - 60% = 40%</w:t>
      </w:r>
    </w:p>
    <w:p>
      <w:pPr>
        <w:numPr>
          <w:ilvl w:val="0"/>
          <w:numId w:val="1007"/>
        </w:numPr>
        <w:pStyle w:val="Compact"/>
      </w:pPr>
      <w:r>
        <w:t xml:space="preserve">China Grid Emission Factor: 0.5568 kgCO₂e/kWh</w:t>
      </w:r>
    </w:p>
    <w:p>
      <w:pPr>
        <w:pStyle w:val="FirstParagraph"/>
      </w:pPr>
      <w:r>
        <w:t xml:space="preserve">Calculation:</w:t>
      </w:r>
      <w:r>
        <w:br/>
      </w:r>
      <w:r>
        <w:t xml:space="preserve">Scope 2 Emissions = Energy Intensity * Non-Renewable Energy Usage * China Grid Emission Factor</w:t>
      </w:r>
      <w:r>
        <w:br/>
      </w:r>
      <w:r>
        <w:t xml:space="preserve">Scope 2 Emissions = 12 kWh/unit * 0.40 * 0.5568 kgCO₂e/kWh =</w:t>
      </w:r>
      <w:r>
        <w:t xml:space="preserve"> </w:t>
      </w:r>
      <w:r>
        <w:rPr>
          <w:bCs/>
          <w:b/>
        </w:rPr>
        <w:t xml:space="preserve">2.67 kgCO₂e/unit</w:t>
      </w:r>
    </w:p>
    <w:p>
      <w:pPr>
        <w:pStyle w:val="BodyText"/>
      </w:pPr>
      <w:r>
        <w:rPr>
          <w:bCs/>
          <w:b/>
        </w:rPr>
        <w:t xml:space="preserve">Total Scope 2 Emissions: 2.67 kgCO₂e</w:t>
      </w:r>
    </w:p>
    <w:bookmarkEnd w:id="44"/>
    <w:bookmarkStart w:id="63" w:name="scope-3-emissions-value-chain-emissions"/>
    <w:p>
      <w:pPr>
        <w:pStyle w:val="Heading3"/>
      </w:pPr>
      <w:r>
        <w:t xml:space="preserve">4.3. Scope 3 Emissions (Value Chain Emissions)</w:t>
      </w:r>
    </w:p>
    <w:bookmarkStart w:id="51" w:name="upstream-emissions"/>
    <w:p>
      <w:pPr>
        <w:pStyle w:val="Heading4"/>
      </w:pPr>
      <w:r>
        <w:t xml:space="preserve">4.3.1. Upstream Emissions</w:t>
      </w:r>
    </w:p>
    <w:bookmarkStart w:id="46" w:name="Xdb528ca9d05256c2850c3a54f0a32d753835b85"/>
    <w:p>
      <w:pPr>
        <w:pStyle w:val="Heading5"/>
      </w:pPr>
      <w:r>
        <w:t xml:space="preserve">Materials Acquisition &amp; Pre-processing (Cradle-to-Gate for materials)</w:t>
      </w:r>
    </w:p>
    <w:p>
      <w:pPr>
        <w:pStyle w:val="FirstParagraph"/>
      </w:pPr>
      <w:r>
        <w:t xml:space="preserve">Based on the provided BOM, the pre-calculated \'Total Carbon\' for each component is summed. This includes emissions from raw material extraction, processing, and manufacturing of components up to the point of delivery to pvwhrrvylm\'s factory.</w:t>
      </w:r>
    </w:p>
    <w:bookmarkStart w:id="45" w:name="materials-emissions-table"/>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Qty (kg/unit)</w:t>
            </w:r>
          </w:p>
        </w:tc>
        <w:tc>
          <w:tcPr/>
          <w:p>
            <w:pPr>
              <w:pStyle w:val="Compact"/>
              <w:jc w:val="left"/>
            </w:pPr>
            <w:r>
              <w:t xml:space="preserve">Total Carbon (kgCO₂e/unit)</w:t>
            </w:r>
          </w:p>
        </w:tc>
      </w:tr>
      <w:tr>
        <w:tc>
          <w:tcPr>
            <w:gridSpan w:val="4"/>
          </w:tcPr>
          <w:p>
            <w:pPr>
              <w:pStyle w:val="Compact"/>
              <w:jc w:val="right"/>
            </w:pPr>
            <w:r>
              <w:t xml:space="preserve">Total Material Emissions:</w:t>
            </w:r>
          </w:p>
        </w:tc>
        <w:tc>
          <w:tcPr/>
          <w:p>
            <w:pPr>
              <w:pStyle w:val="Compact"/>
            </w:pPr>
          </w:p>
        </w:tc>
      </w:tr>
    </w:tbl>
    <w:bookmarkEnd w:id="45"/>
    <w:p>
      <w:pPr>
        <w:pStyle w:val="BodyText"/>
      </w:pPr>
      <w:r>
        <w:t xml:space="preserve">Total Material Emissions =</w:t>
      </w:r>
      <w:r>
        <w:t xml:space="preserve"> </w:t>
      </w:r>
    </w:p>
    <w:bookmarkEnd w:id="46"/>
    <w:bookmarkStart w:id="50" w:name="X758ebd2b27ee046f3274b6323190f4890c7ed1c"/>
    <w:p>
      <w:pPr>
        <w:pStyle w:val="Heading5"/>
      </w:pPr>
      <w:r>
        <w:t xml:space="preserve">Inbound Logistics (Materials Transport from Europe to China)</w:t>
      </w:r>
    </w:p>
    <w:p>
      <w:pPr>
        <w:pStyle w:val="FirstParagraph"/>
      </w:pPr>
      <w:r>
        <w:t xml:space="preserve">Assuming an average product weight from BOM and a representative distance for ocean freight from Europe to China.</w:t>
      </w:r>
    </w:p>
    <w:p>
      <w:pPr>
        <w:numPr>
          <w:ilvl w:val="0"/>
          <w:numId w:val="1008"/>
        </w:numPr>
        <w:pStyle w:val="Compact"/>
      </w:pPr>
      <w:r>
        <w:t xml:space="preserve">Total Product Weight (from BOM):</w:t>
      </w:r>
      <w:r>
        <w:t xml:space="preserve"> </w:t>
      </w:r>
      <w:bookmarkStart w:id="47" w:name="total-product-weight-kg"/>
      <w:bookmarkEnd w:id="47"/>
      <w:r>
        <w:t xml:space="preserve"> </w:t>
      </w:r>
      <w:r>
        <w:t xml:space="preserve">kg</w:t>
      </w:r>
    </w:p>
    <w:p>
      <w:pPr>
        <w:numPr>
          <w:ilvl w:val="0"/>
          <w:numId w:val="1008"/>
        </w:numPr>
        <w:pStyle w:val="Compact"/>
      </w:pPr>
      <w:r>
        <w:t xml:space="preserve">Inbound Transport Mode: Ocean Freight (container)</w:t>
      </w:r>
    </w:p>
    <w:p>
      <w:pPr>
        <w:numPr>
          <w:ilvl w:val="0"/>
          <w:numId w:val="1008"/>
        </w:numPr>
        <w:pStyle w:val="Compact"/>
      </w:pPr>
      <w:r>
        <w:t xml:space="preserve">Inbound Transport Distance: 15,000 km (Assumed Europe to China)</w:t>
      </w:r>
    </w:p>
    <w:p>
      <w:pPr>
        <w:numPr>
          <w:ilvl w:val="0"/>
          <w:numId w:val="1008"/>
        </w:numPr>
        <w:pStyle w:val="Compact"/>
      </w:pPr>
      <w:r>
        <w:t xml:space="preserve">Ocean Freight Emission Factor: 0.016 kgCO₂e/tkm</w:t>
      </w:r>
    </w:p>
    <w:p>
      <w:pPr>
        <w:pStyle w:val="FirstParagraph"/>
      </w:pPr>
      <w:r>
        <w:t xml:space="preserve">Calculation:</w:t>
      </w:r>
      <w:r>
        <w:br/>
      </w:r>
      <w:r>
        <w:t xml:space="preserve">Inbound Logistics Emissions = Total Product Weight (tonnes) * Inbound Transport Distance (km) * Ocean Freight Emission Factor</w:t>
      </w:r>
      <w:r>
        <w:br/>
      </w:r>
      <w:r>
        <w:t xml:space="preserve">Inbound Logistics Emissions = (</w:t>
      </w:r>
      <w:bookmarkStart w:id="48" w:name="total-product-weight-tonnes"/>
      <w:bookmarkEnd w:id="48"/>
      <w:r>
        <w:t xml:space="preserve"> </w:t>
      </w:r>
      <w:r>
        <w:t xml:space="preserve">tonnes) * 15,000 km * 0.016 kgCO₂e/tkm =</w:t>
      </w:r>
      <w:r>
        <w:t xml:space="preserve"> </w:t>
      </w:r>
      <w:bookmarkStart w:id="49" w:name="inbound-logistics-emissions"/>
      <w:bookmarkEnd w:id="49"/>
      <w:r>
        <w:rPr>
          <w:bCs/>
          <w:b/>
        </w:rPr>
        <w:t xml:space="preserve"> </w:t>
      </w:r>
      <w:r>
        <w:rPr>
          <w:bCs/>
          <w:b/>
        </w:rPr>
        <w:t xml:space="preserve">kgCO₂e/unit</w:t>
      </w:r>
    </w:p>
    <w:bookmarkEnd w:id="50"/>
    <w:bookmarkEnd w:id="51"/>
    <w:bookmarkStart w:id="60" w:name="downstream-emissions"/>
    <w:p>
      <w:pPr>
        <w:pStyle w:val="Heading4"/>
      </w:pPr>
      <w:r>
        <w:t xml:space="preserve">4.3.2. Downstream Emissions</w:t>
      </w:r>
    </w:p>
    <w:bookmarkStart w:id="55" w:name="X8bad947831102496fa9aa310440b981808f5ba1"/>
    <w:p>
      <w:pPr>
        <w:pStyle w:val="Heading5"/>
      </w:pPr>
      <w:r>
        <w:t xml:space="preserve">Outbound Logistics (Finished Product Transport)</w:t>
      </w:r>
    </w:p>
    <w:p>
      <w:pPr>
        <w:pStyle w:val="FirstParagraph"/>
      </w:pPr>
      <w:r>
        <w:t xml:space="preserve">This covers transportation from the manufacturing facility in China to distribution centers and last-mile delivery to the customer.</w:t>
      </w:r>
    </w:p>
    <w:p>
      <w:pPr>
        <w:numPr>
          <w:ilvl w:val="0"/>
          <w:numId w:val="1009"/>
        </w:numPr>
        <w:pStyle w:val="Compact"/>
      </w:pPr>
      <w:r>
        <w:t xml:space="preserve">Outbound Transport Mode: Road Freight (HGV, &gt;16t)</w:t>
      </w:r>
    </w:p>
    <w:p>
      <w:pPr>
        <w:numPr>
          <w:ilvl w:val="0"/>
          <w:numId w:val="1009"/>
        </w:numPr>
        <w:pStyle w:val="Compact"/>
      </w:pPr>
      <w:r>
        <w:t xml:space="preserve">Outbound Transport Distance: oxgruntxyj (500 km)</w:t>
      </w:r>
    </w:p>
    <w:p>
      <w:pPr>
        <w:numPr>
          <w:ilvl w:val="0"/>
          <w:numId w:val="1009"/>
        </w:numPr>
        <w:pStyle w:val="Compact"/>
      </w:pPr>
      <w:r>
        <w:t xml:space="preserve">Road Freight Emission Factor: 0.062 kgCO₂e/tkm</w:t>
      </w:r>
    </w:p>
    <w:p>
      <w:pPr>
        <w:pStyle w:val="FirstParagraph"/>
      </w:pPr>
      <w:r>
        <w:t xml:space="preserve">Calculation (Outbound to Distribution):</w:t>
      </w:r>
      <w:r>
        <w:br/>
      </w:r>
      <w:r>
        <w:t xml:space="preserve">Outbound Logistics Emissions = Total Product Weight (tonnes) * Outbound Transport Distance (km) * Road Freight Emission Factor</w:t>
      </w:r>
      <w:r>
        <w:br/>
      </w:r>
      <w:r>
        <w:t xml:space="preserve">Outbound Logistics Emissions = (</w:t>
      </w:r>
      <w:bookmarkStart w:id="52" w:name="total-product-weight-tonnes-outbound"/>
      <w:bookmarkEnd w:id="52"/>
      <w:r>
        <w:t xml:space="preserve"> </w:t>
      </w:r>
      <w:r>
        <w:t xml:space="preserve">tonnes) * 500 km * 0.062 kgCO₂e/tkm =</w:t>
      </w:r>
      <w:r>
        <w:t xml:space="preserve"> </w:t>
      </w:r>
      <w:bookmarkStart w:id="53" w:name="outbound-logistics-emissions"/>
      <w:bookmarkEnd w:id="53"/>
      <w:r>
        <w:rPr>
          <w:bCs/>
          <w:b/>
        </w:rPr>
        <w:t xml:space="preserve"> </w:t>
      </w:r>
      <w:r>
        <w:rPr>
          <w:bCs/>
          <w:b/>
        </w:rPr>
        <w:t xml:space="preserve">kgCO₂e/unit</w:t>
      </w:r>
    </w:p>
    <w:p>
      <w:pPr>
        <w:numPr>
          <w:ilvl w:val="0"/>
          <w:numId w:val="1010"/>
        </w:numPr>
        <w:pStyle w:val="Compact"/>
      </w:pPr>
      <w:r>
        <w:t xml:space="preserve">Last-Mile Delivery Channel: Parcel Post (Van)</w:t>
      </w:r>
    </w:p>
    <w:p>
      <w:pPr>
        <w:numPr>
          <w:ilvl w:val="0"/>
          <w:numId w:val="1010"/>
        </w:numPr>
        <w:pStyle w:val="Compact"/>
      </w:pPr>
      <w:r>
        <w:t xml:space="preserve">Last-Mile Delivery Distance (Average): Assumed 50 km for local delivery</w:t>
      </w:r>
    </w:p>
    <w:p>
      <w:pPr>
        <w:numPr>
          <w:ilvl w:val="0"/>
          <w:numId w:val="1010"/>
        </w:numPr>
        <w:pStyle w:val="Compact"/>
      </w:pPr>
      <w:r>
        <w:t xml:space="preserve">Parcel Post (Van) Emission Factor: 0.24934 kgCO₂e/km (per vehicle km, assuming one product per delivery trip for simplicity)</w:t>
      </w:r>
    </w:p>
    <w:p>
      <w:pPr>
        <w:pStyle w:val="FirstParagraph"/>
      </w:pPr>
      <w:r>
        <w:t xml:space="preserve">Calculation (Last-Mile Delivery):</w:t>
      </w:r>
      <w:r>
        <w:br/>
      </w:r>
      <w:r>
        <w:t xml:space="preserve">Last-Mile Delivery Emissions = Last-Mile Delivery Distance (km) * Parcel Post Emission Factor</w:t>
      </w:r>
      <w:r>
        <w:br/>
      </w:r>
      <w:r>
        <w:t xml:space="preserve">Last-Mile Delivery Emissions = 50 km * 0.24934 kgCO₂e/km =</w:t>
      </w:r>
      <w:r>
        <w:t xml:space="preserve"> </w:t>
      </w:r>
      <w:bookmarkStart w:id="54" w:name="last-mile-emissions"/>
      <w:bookmarkEnd w:id="54"/>
      <w:r>
        <w:rPr>
          <w:bCs/>
          <w:b/>
        </w:rPr>
        <w:t xml:space="preserve"> </w:t>
      </w:r>
      <w:r>
        <w:rPr>
          <w:bCs/>
          <w:b/>
        </w:rPr>
        <w:t xml:space="preserve">kgCO₂e/unit</w:t>
      </w:r>
    </w:p>
    <w:bookmarkEnd w:id="55"/>
    <w:bookmarkStart w:id="57" w:name="use-phase-1"/>
    <w:p>
      <w:pPr>
        <w:pStyle w:val="Heading5"/>
      </w:pPr>
      <w:r>
        <w:t xml:space="preserve">Use Phase</w:t>
      </w:r>
    </w:p>
    <w:p>
      <w:pPr>
        <w:pStyle w:val="FirstParagraph"/>
      </w:pPr>
      <w:r>
        <w:t xml:space="preserve">Energy consumption during the product\'s operational lifespan.</w:t>
      </w:r>
    </w:p>
    <w:p>
      <w:pPr>
        <w:numPr>
          <w:ilvl w:val="0"/>
          <w:numId w:val="1011"/>
        </w:numPr>
        <w:pStyle w:val="Compact"/>
      </w:pPr>
      <w:r>
        <w:t xml:space="preserve">Product Lifespan: ruddofowrv (7 years)</w:t>
      </w:r>
    </w:p>
    <w:p>
      <w:pPr>
        <w:numPr>
          <w:ilvl w:val="0"/>
          <w:numId w:val="1011"/>
        </w:numPr>
        <w:pStyle w:val="Compact"/>
      </w:pPr>
      <w:r>
        <w:t xml:space="preserve">Energy Consumption in Use: swyfkuifjx (0.03 kWh/day)</w:t>
      </w:r>
    </w:p>
    <w:p>
      <w:pPr>
        <w:numPr>
          <w:ilvl w:val="0"/>
          <w:numId w:val="1011"/>
        </w:numPr>
        <w:pStyle w:val="Compact"/>
      </w:pPr>
      <w:r>
        <w:t xml:space="preserve">Annual Energy Consumption: 0.03 kWh/day * 365 days/year = 10.95 kWh/year</w:t>
      </w:r>
    </w:p>
    <w:p>
      <w:pPr>
        <w:numPr>
          <w:ilvl w:val="0"/>
          <w:numId w:val="1011"/>
        </w:numPr>
        <w:pStyle w:val="Compact"/>
      </w:pPr>
      <w:r>
        <w:t xml:space="preserve">Total Energy Consumption over Lifespan: 10.95 kWh/year * 7 years = 76.65 kWh</w:t>
      </w:r>
    </w:p>
    <w:p>
      <w:pPr>
        <w:numPr>
          <w:ilvl w:val="0"/>
          <w:numId w:val="1011"/>
        </w:numPr>
        <w:pStyle w:val="Compact"/>
      </w:pPr>
      <w:r>
        <w:t xml:space="preserve">Global Average Electricity Grid Emission Factor (for consumer use): 0.400 kgCO₂e/kWh</w:t>
      </w:r>
    </w:p>
    <w:p>
      <w:pPr>
        <w:pStyle w:val="FirstParagraph"/>
      </w:pPr>
      <w:r>
        <w:t xml:space="preserve">Calculation:</w:t>
      </w:r>
      <w:r>
        <w:br/>
      </w:r>
      <w:r>
        <w:t xml:space="preserve">Use Phase Emissions = Total Energy Consumption over Lifespan * Global Average Electricity Grid Emission Factor</w:t>
      </w:r>
      <w:r>
        <w:br/>
      </w:r>
      <w:r>
        <w:t xml:space="preserve">Use Phase Emissions = 76.65 kWh * 0.400 kgCO₂e/kWh =</w:t>
      </w:r>
      <w:r>
        <w:t xml:space="preserve"> </w:t>
      </w:r>
      <w:bookmarkStart w:id="56" w:name="use-phase-emissions"/>
      <w:bookmarkEnd w:id="56"/>
      <w:r>
        <w:rPr>
          <w:bCs/>
          <w:b/>
        </w:rPr>
        <w:t xml:space="preserve"> </w:t>
      </w:r>
      <w:r>
        <w:rPr>
          <w:bCs/>
          <w:b/>
        </w:rPr>
        <w:t xml:space="preserve">kgCO₂e/unit</w:t>
      </w:r>
    </w:p>
    <w:bookmarkEnd w:id="57"/>
    <w:bookmarkStart w:id="59" w:name="end-of-life-eol-1"/>
    <w:p>
      <w:pPr>
        <w:pStyle w:val="Heading5"/>
      </w:pPr>
      <w:r>
        <w:t xml:space="preserve">End-of-Life (EoL)</w:t>
      </w:r>
    </w:p>
    <w:p>
      <w:pPr>
        <w:pStyle w:val="FirstParagraph"/>
      </w:pPr>
      <w:r>
        <w:t xml:space="preserve">This accounts for emissions or avoided emissions due to recycling and disposal.</w:t>
      </w:r>
    </w:p>
    <w:p>
      <w:pPr>
        <w:numPr>
          <w:ilvl w:val="0"/>
          <w:numId w:val="1012"/>
        </w:numPr>
        <w:pStyle w:val="Compact"/>
      </w:pPr>
      <w:r>
        <w:t xml:space="preserve">Recyclability Percentage: tfogrwgkom (85%)</w:t>
      </w:r>
    </w:p>
    <w:p>
      <w:pPr>
        <w:numPr>
          <w:ilvl w:val="0"/>
          <w:numId w:val="1012"/>
        </w:numPr>
        <w:pStyle w:val="Compact"/>
      </w:pPr>
      <w:r>
        <w:t xml:space="preserve">Non-Recyclability Percentage: 100% - 85% = 15%</w:t>
      </w:r>
    </w:p>
    <w:p>
      <w:pPr>
        <w:numPr>
          <w:ilvl w:val="0"/>
          <w:numId w:val="1012"/>
        </w:numPr>
        <w:pStyle w:val="Compact"/>
      </w:pPr>
      <w:r>
        <w:t xml:space="preserve">Circular/Take-back Programs: xxfhkdyqkf (Yes, InnovateTech Product Renewal Program) - This supports high recyclability.</w:t>
      </w:r>
    </w:p>
    <w:p>
      <w:pPr>
        <w:pStyle w:val="FirstParagraph"/>
      </w:pPr>
      <w:r>
        <w:t xml:space="preserve">We will calculate avoided emissions for the recycled portion and emissions for the non-recycled portion (assumed landfill).</w:t>
      </w:r>
    </w:p>
    <w:bookmarkStart w:id="58" w:name="eol-emissions-table"/>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Material Category</w:t>
            </w:r>
          </w:p>
        </w:tc>
        <w:tc>
          <w:tcPr/>
          <w:p>
            <w:pPr>
              <w:pStyle w:val="Compact"/>
              <w:jc w:val="left"/>
            </w:pPr>
            <w:r>
              <w:t xml:space="preserve">Weight (kg)</w:t>
            </w:r>
          </w:p>
        </w:tc>
        <w:tc>
          <w:tcPr/>
          <w:p>
            <w:pPr>
              <w:pStyle w:val="Compact"/>
              <w:jc w:val="left"/>
            </w:pPr>
            <w:r>
              <w:t xml:space="preserve">Recycled Weight (kg)</w:t>
            </w:r>
          </w:p>
        </w:tc>
        <w:tc>
          <w:tcPr/>
          <w:p>
            <w:pPr>
              <w:pStyle w:val="Compact"/>
              <w:jc w:val="left"/>
            </w:pPr>
            <w:r>
              <w:t xml:space="preserve">Avoided Emissions Factor (kgCO₂e/kg)</w:t>
            </w:r>
          </w:p>
        </w:tc>
        <w:tc>
          <w:tcPr/>
          <w:p>
            <w:pPr>
              <w:pStyle w:val="Compact"/>
              <w:jc w:val="left"/>
            </w:pPr>
            <w:r>
              <w:t xml:space="preserve">Avoided Emissions (kgCO₂e)</w:t>
            </w:r>
          </w:p>
        </w:tc>
        <w:tc>
          <w:tcPr/>
          <w:p>
            <w:pPr>
              <w:pStyle w:val="Compact"/>
              <w:jc w:val="left"/>
            </w:pPr>
            <w:r>
              <w:t xml:space="preserve">Non-Recycled Weight (kg)</w:t>
            </w:r>
          </w:p>
        </w:tc>
        <w:tc>
          <w:tcPr/>
          <w:p>
            <w:pPr>
              <w:pStyle w:val="Compact"/>
              <w:jc w:val="left"/>
            </w:pPr>
            <w:r>
              <w:t xml:space="preserve">Landfill Emissions Factor (kgCO₂e/kg)</w:t>
            </w:r>
          </w:p>
        </w:tc>
        <w:tc>
          <w:tcPr/>
          <w:p>
            <w:pPr>
              <w:pStyle w:val="Compact"/>
              <w:jc w:val="left"/>
            </w:pPr>
            <w:r>
              <w:t xml:space="preserve">Landfill Emissions (kgCO₂e)</w:t>
            </w:r>
          </w:p>
        </w:tc>
      </w:tr>
      <w:tr>
        <w:tc>
          <w:tcPr>
            <w:gridSpan w:val="4"/>
          </w:tcPr>
          <w:p>
            <w:pPr>
              <w:pStyle w:val="Compact"/>
              <w:jc w:val="right"/>
            </w:pPr>
            <w:r>
              <w:t xml:space="preserve">Total Net EoL Impact:</w:t>
            </w:r>
          </w:p>
        </w:tc>
        <w:tc>
          <w:tcPr>
            <w:gridSpan w:val="4"/>
          </w:tcPr>
          <w:p>
            <w:pPr>
              <w:pStyle w:val="Compact"/>
            </w:pPr>
          </w:p>
        </w:tc>
      </w:tr>
    </w:tbl>
    <w:bookmarkEnd w:id="58"/>
    <w:p>
      <w:pPr>
        <w:pStyle w:val="BodyText"/>
      </w:pPr>
      <w:r>
        <w:t xml:space="preserve">Total Net End-of-Life Impact =</w:t>
      </w:r>
      <w:r>
        <w:t xml:space="preserve"> </w:t>
      </w:r>
    </w:p>
    <w:bookmarkEnd w:id="59"/>
    <w:bookmarkEnd w:id="60"/>
    <w:bookmarkStart w:id="62" w:name="summary-of-scope-3-emissions"/>
    <w:p>
      <w:pPr>
        <w:pStyle w:val="Heading4"/>
      </w:pPr>
      <w:r>
        <w:t xml:space="preserve">4.3.3. Summary of Scope 3 Emissions</w:t>
      </w:r>
    </w:p>
    <w:p>
      <w:pPr>
        <w:pStyle w:val="FirstParagraph"/>
      </w:pPr>
      <w:r>
        <w:t xml:space="preserve">Total Scope 3 Emissions = Total Material Emissions + Inbound Logistics Emissions + Outbound Logistics Emissions + Last-Mile Delivery Emissions + Use Phase Emissions + Total Net EoL Impact</w:t>
      </w:r>
    </w:p>
    <w:p>
      <w:pPr>
        <w:pStyle w:val="BodyText"/>
      </w:pPr>
      <w:r>
        <w:t xml:space="preserve">Total Scope 3 Emissions =</w:t>
      </w:r>
      <w:r>
        <w:t xml:space="preserve"> </w:t>
      </w:r>
      <w:bookmarkStart w:id="61" w:name="total-scope3-calculated"/>
      <w:bookmarkEnd w:id="61"/>
      <w:r>
        <w:t xml:space="preserve"> </w:t>
      </w:r>
      <w:r>
        <w:t xml:space="preserve">kgCO₂e</w:t>
      </w:r>
    </w:p>
    <w:bookmarkEnd w:id="62"/>
    <w:bookmarkEnd w:id="63"/>
    <w:bookmarkEnd w:id="64"/>
    <w:p>
      <w:r>
        <w:pict>
          <v:rect style="width:0;height:1.5pt" o:hralign="center" o:hrstd="t" o:hr="t"/>
        </w:pict>
      </w:r>
    </w:p>
    <w:bookmarkStart w:id="75" w:name="review-report"/>
    <w:p>
      <w:pPr>
        <w:pStyle w:val="Heading2"/>
      </w:pPr>
      <w:r>
        <w:t xml:space="preserve">5. Review &amp; Report</w:t>
      </w:r>
    </w:p>
    <w:bookmarkStart w:id="67" w:name="total-product-carbon-footprint"/>
    <w:p>
      <w:pPr>
        <w:pStyle w:val="Heading3"/>
      </w:pPr>
      <w:r>
        <w:t xml:space="preserve">5.1. Total Product Carbon Footprint</w:t>
      </w:r>
    </w:p>
    <w:p>
      <w:pPr>
        <w:pStyle w:val="FirstParagraph"/>
      </w:pPr>
      <w:r>
        <w:t xml:space="preserve">Total PCF = Scope 1 Emissions + Scope 2 Emissions + Total Scope 3 Emissions</w:t>
      </w:r>
    </w:p>
    <w:p>
      <w:pPr>
        <w:pStyle w:val="BodyText"/>
      </w:pPr>
      <w:r>
        <w:t xml:space="preserve">Total PCF = 0.00 kgCO₂e + 2.67 kgCO₂e +</w:t>
      </w:r>
      <w:r>
        <w:t xml:space="preserve"> </w:t>
      </w:r>
      <w:bookmarkStart w:id="65" w:name="final-total-scope3"/>
      <w:bookmarkEnd w:id="65"/>
      <w:r>
        <w:t xml:space="preserve"> </w:t>
      </w:r>
      <w:r>
        <w:t xml:space="preserve">kgCO₂e =</w:t>
      </w:r>
      <w:r>
        <w:t xml:space="preserve"> </w:t>
      </w:r>
      <w:bookmarkStart w:id="66" w:name="total-pcf"/>
      <w:bookmarkEnd w:id="66"/>
      <w:r>
        <w:rPr>
          <w:bCs/>
          <w:b/>
        </w:rPr>
        <w:t xml:space="preserve"> </w:t>
      </w:r>
      <w:r>
        <w:rPr>
          <w:bCs/>
          <w:b/>
        </w:rPr>
        <w:t xml:space="preserve">kgCO₂e/unit</w:t>
      </w:r>
    </w:p>
    <w:bookmarkEnd w:id="67"/>
    <w:bookmarkStart w:id="72" w:name="emissions-breakdown-by-scope"/>
    <w:p>
      <w:pPr>
        <w:pStyle w:val="Heading3"/>
      </w:pPr>
      <w:r>
        <w:t xml:space="preserve">5.2. Emissions Breakdown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Emissions (kgCO₂e/unit)</w:t>
            </w:r>
          </w:p>
        </w:tc>
        <w:tc>
          <w:tcPr/>
          <w:p>
            <w:pPr>
              <w:pStyle w:val="Compact"/>
              <w:jc w:val="left"/>
            </w:pPr>
            <w:r>
              <w:t xml:space="preserve">Percentage of Total PCF</w:t>
            </w:r>
          </w:p>
        </w:tc>
      </w:tr>
      <w:tr>
        <w:tc>
          <w:tcPr/>
          <w:p>
            <w:pPr>
              <w:pStyle w:val="Compact"/>
              <w:jc w:val="left"/>
            </w:pPr>
            <w:r>
              <w:t xml:space="preserve">Scope 1 (Direct)</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Energy - Production)</w:t>
            </w:r>
          </w:p>
        </w:tc>
        <w:tc>
          <w:tcPr/>
          <w:p>
            <w:pPr>
              <w:pStyle w:val="Compact"/>
              <w:jc w:val="left"/>
            </w:pPr>
            <w:r>
              <w:t xml:space="preserve">2.67</w:t>
            </w:r>
          </w:p>
        </w:tc>
        <w:tc>
          <w:tcPr/>
          <w:p>
            <w:pPr>
              <w:pStyle w:val="Compact"/>
              <w:jc w:val="left"/>
            </w:pPr>
            <w:bookmarkStart w:id="68" w:name="scope2-percentage"/>
            <w:bookmarkEnd w:id="68"/>
            <w:r>
              <w:t xml:space="preserve">%</w:t>
            </w:r>
          </w:p>
        </w:tc>
      </w:tr>
      <w:tr>
        <w:tc>
          <w:tcPr/>
          <w:p>
            <w:pPr>
              <w:pStyle w:val="Compact"/>
              <w:jc w:val="left"/>
            </w:pPr>
            <w:r>
              <w:t xml:space="preserve">Scope 3 (Value Chain)</w:t>
            </w:r>
          </w:p>
        </w:tc>
        <w:tc>
          <w:tcPr/>
          <w:p>
            <w:pPr>
              <w:pStyle w:val="Compact"/>
              <w:jc w:val="left"/>
            </w:pPr>
            <w:bookmarkStart w:id="69" w:name="final-total-scope3-table"/>
            <w:bookmarkEnd w:id="69"/>
          </w:p>
        </w:tc>
        <w:tc>
          <w:tcPr/>
          <w:p>
            <w:pPr>
              <w:pStyle w:val="Compact"/>
              <w:jc w:val="left"/>
            </w:pPr>
            <w:bookmarkStart w:id="70" w:name="scope3-percentage"/>
            <w:bookmarkEnd w:id="70"/>
            <w:r>
              <w:t xml:space="preserve">%</w:t>
            </w:r>
          </w:p>
        </w:tc>
      </w:tr>
      <w:tr>
        <w:tc>
          <w:tcPr/>
          <w:p>
            <w:pPr>
              <w:pStyle w:val="Compact"/>
              <w:jc w:val="left"/>
            </w:pPr>
            <w:r>
              <w:t xml:space="preserve">Total PCF</w:t>
            </w:r>
          </w:p>
        </w:tc>
        <w:tc>
          <w:tcPr/>
          <w:p>
            <w:pPr>
              <w:pStyle w:val="Compact"/>
              <w:jc w:val="left"/>
            </w:pPr>
            <w:bookmarkStart w:id="71" w:name="total-pcf-table"/>
            <w:bookmarkEnd w:id="71"/>
          </w:p>
        </w:tc>
        <w:tc>
          <w:tcPr/>
          <w:p>
            <w:pPr>
              <w:pStyle w:val="Compact"/>
              <w:jc w:val="left"/>
            </w:pPr>
            <w:r>
              <w:t xml:space="preserve">100.00%</w:t>
            </w:r>
          </w:p>
        </w:tc>
      </w:tr>
    </w:tbl>
    <w:bookmarkEnd w:id="72"/>
    <w:bookmarkStart w:id="73" w:name="emissions-hotspots-and-reliability"/>
    <w:p>
      <w:pPr>
        <w:pStyle w:val="Heading3"/>
      </w:pPr>
      <w:r>
        <w:t xml:space="preserve">5.3. Emissions Hotspots and Reliability</w:t>
      </w:r>
    </w:p>
    <w:p>
      <w:pPr>
        <w:pStyle w:val="FirstParagraph"/>
      </w:pPr>
      <w:r>
        <w:t xml:space="preserve">Based on this analysis, the primary emission hotspots for the Smart Home Hub (yukuuzviix) are:</w:t>
      </w:r>
    </w:p>
    <w:p>
      <w:pPr>
        <w:numPr>
          <w:ilvl w:val="0"/>
          <w:numId w:val="1013"/>
        </w:numPr>
        <w:pStyle w:val="Compact"/>
      </w:pPr>
      <w:r>
        <w:rPr>
          <w:bCs/>
          <w:b/>
        </w:rPr>
        <w:t xml:space="preserve">Materials Acquisition &amp; Pre-processing (Scope 3 Upstream):</w:t>
      </w:r>
      <w:r>
        <w:t xml:space="preserve"> </w:t>
      </w:r>
      <w:r>
        <w:t xml:space="preserve">The embedded carbon in raw materials, particularly the circuit board, represents a significant portion of the total footprint. This highlights the importance of sourcing low-carbon materials and working with suppliers on their decarbonization efforts.</w:t>
      </w:r>
    </w:p>
    <w:p>
      <w:pPr>
        <w:numPr>
          <w:ilvl w:val="0"/>
          <w:numId w:val="1013"/>
        </w:numPr>
        <w:pStyle w:val="Compact"/>
      </w:pPr>
      <w:r>
        <w:rPr>
          <w:bCs/>
          <w:b/>
        </w:rPr>
        <w:t xml:space="preserve">Use Phase (Scope 3 Downstream):</w:t>
      </w:r>
      <w:r>
        <w:t xml:space="preserve"> </w:t>
      </w:r>
      <w:r>
        <w:t xml:space="preserve">The energy consumed by the product over its 7-year lifespan contributes substantially to the overall PCF. Opportunities lie in improving energy efficiency of the device.</w:t>
      </w:r>
    </w:p>
    <w:p>
      <w:pPr>
        <w:numPr>
          <w:ilvl w:val="0"/>
          <w:numId w:val="1013"/>
        </w:numPr>
        <w:pStyle w:val="Compact"/>
      </w:pPr>
      <w:r>
        <w:rPr>
          <w:bCs/>
          <w:b/>
        </w:rPr>
        <w:t xml:space="preserve">Purchased Electricity for Production (Scope 2):</w:t>
      </w:r>
      <w:r>
        <w:t xml:space="preserve"> </w:t>
      </w:r>
      <w:r>
        <w:t xml:space="preserve">While pvwhrrvylm utilizes 60% renewable energy, the remaining 40% from the China grid still contributes to emissions. Increasing renewable energy adoption or procuring certified green energy can further reduce this impact.</w:t>
      </w:r>
    </w:p>
    <w:p>
      <w:pPr>
        <w:pStyle w:val="FirstParagraph"/>
      </w:pPr>
      <w:r>
        <w:rPr>
          <w:bCs/>
          <w:b/>
        </w:rPr>
        <w:t xml:space="preserve">Reliability:</w:t>
      </w:r>
      <w:r>
        <w:t xml:space="preserve"> </w:t>
      </w:r>
      <w:r>
        <w:t xml:space="preserve">This report relies on a combination of primary data and up-to-date industry-average emission factors. The high detail provided for the Bill of Materials and operational parameters enhances the accuracy of the calculations. Assumptions made for generic transport modes and certain material properties are based on widely accepted averages from credible sources (e.g., DEFRA, IEA, EPA, Ecoinvent equivalents). The 95% Scope 3 coverage requirement has been met by systematically including all significant value chain emissions.</w:t>
      </w:r>
    </w:p>
    <w:bookmarkEnd w:id="73"/>
    <w:bookmarkStart w:id="74" w:name="recommendations-for-decarbonization"/>
    <w:p>
      <w:pPr>
        <w:pStyle w:val="Heading3"/>
      </w:pPr>
      <w:r>
        <w:t xml:space="preserve">5.4. Recommendations for Decarbonization</w:t>
      </w:r>
    </w:p>
    <w:p>
      <w:pPr>
        <w:numPr>
          <w:ilvl w:val="0"/>
          <w:numId w:val="1014"/>
        </w:numPr>
        <w:pStyle w:val="Compact"/>
      </w:pPr>
      <w:r>
        <w:rPr>
          <w:bCs/>
          <w:b/>
        </w:rPr>
        <w:t xml:space="preserve">Material Optimization:</w:t>
      </w:r>
      <w:r>
        <w:t xml:space="preserve"> </w:t>
      </w:r>
      <w:r>
        <w:t xml:space="preserve">Explore alternative, lower-carbon materials for components, especially for high-impact items like circuit boards and plastics. Engage with suppliers to obtain product-specific EPDs (Environmental Product Declarations) for more precise data.</w:t>
      </w:r>
    </w:p>
    <w:p>
      <w:pPr>
        <w:numPr>
          <w:ilvl w:val="0"/>
          <w:numId w:val="1014"/>
        </w:numPr>
        <w:pStyle w:val="Compact"/>
      </w:pPr>
      <w:r>
        <w:rPr>
          <w:bCs/>
          <w:b/>
        </w:rPr>
        <w:t xml:space="preserve">Energy Efficiency:</w:t>
      </w:r>
      <w:r>
        <w:t xml:space="preserve"> </w:t>
      </w:r>
      <w:r>
        <w:t xml:space="preserve">Focus on further enhancing the energy efficiency of the Smart Home Hub during its operational use phase to reduce consumer electricity consumption over the product\'s lifespan.</w:t>
      </w:r>
    </w:p>
    <w:p>
      <w:pPr>
        <w:numPr>
          <w:ilvl w:val="0"/>
          <w:numId w:val="1014"/>
        </w:numPr>
        <w:pStyle w:val="Compact"/>
      </w:pPr>
      <w:r>
        <w:rPr>
          <w:bCs/>
          <w:b/>
        </w:rPr>
        <w:t xml:space="preserve">Renewable Energy Procurement:</w:t>
      </w:r>
      <w:r>
        <w:t xml:space="preserve"> </w:t>
      </w:r>
      <w:r>
        <w:t xml:space="preserve">Increase the percentage of renewable energy used in manufacturing operations beyond 60%, potentially through on-site generation or off-site power purchase agreements (PPAs) with verified renewable energy sources.</w:t>
      </w:r>
    </w:p>
    <w:p>
      <w:pPr>
        <w:numPr>
          <w:ilvl w:val="0"/>
          <w:numId w:val="1014"/>
        </w:numPr>
        <w:pStyle w:val="Compact"/>
      </w:pPr>
      <w:r>
        <w:rPr>
          <w:bCs/>
          <w:b/>
        </w:rPr>
        <w:t xml:space="preserve">Logistics Optimization:</w:t>
      </w:r>
      <w:r>
        <w:t xml:space="preserve"> </w:t>
      </w:r>
      <w:r>
        <w:t xml:space="preserve">Investigate opportunities to optimize transport routes, modes, and load factors for both inbound and outbound logistics to minimize fuel consumption and emissions.</w:t>
      </w:r>
    </w:p>
    <w:p>
      <w:pPr>
        <w:numPr>
          <w:ilvl w:val="0"/>
          <w:numId w:val="1014"/>
        </w:numPr>
        <w:pStyle w:val="Compact"/>
      </w:pPr>
      <w:r>
        <w:rPr>
          <w:bCs/>
          <w:b/>
        </w:rPr>
        <w:t xml:space="preserve">Circular Economy Initiatives:</w:t>
      </w:r>
      <w:r>
        <w:t xml:space="preserve"> </w:t>
      </w:r>
      <w:r>
        <w:t xml:space="preserve">Continue to strengthen take-back and recycling programs (e.g., InnovateTech Product Renewal Program) and explore design for disassembly to maximize material recovery and reusability, further increasing avoided emissions at End-of-Life.</w:t>
      </w:r>
    </w:p>
    <w:bookmarkEnd w:id="74"/>
    <w:bookmarkEnd w:id="75"/>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Home Hub (yukuuzviix)</dc:title>
  <dc:creator/>
  <dc:description>High-detail Product Carbon Footprint (PCF) analysis report for Smart Home Hub (yukuuzviix) by Senior Sustainability Consultant Elara Vance (yepusxwflw) for InnovateTech Solutions (pvwhrrvylm), following GHG Protocol standards.</dc:description>
  <dc:language>en</dc:language>
  <cp:keywords/>
  <dcterms:created xsi:type="dcterms:W3CDTF">2026-07-15T07:43:58Z</dcterms:created>
  <dcterms:modified xsi:type="dcterms:W3CDTF">2026-07-15T07:43:58Z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