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X-V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Hub X-V</w:t>
      </w:r>
    </w:p>
    <w:p>
      <w:pPr>
        <w:pStyle w:val="BodyText"/>
      </w:pPr>
      <w:r>
        <w:rPr>
          <w:bCs/>
          <w:b/>
        </w:rPr>
        <w:t xml:space="preserve">Company Name:</w:t>
      </w:r>
      <w:r>
        <w:t xml:space="preserve"> </w:t>
      </w:r>
      <w:r>
        <w:t xml:space="preserve">vvuwtpplwy</w:t>
      </w:r>
    </w:p>
    <w:p>
      <w:pPr>
        <w:pStyle w:val="BodyText"/>
      </w:pPr>
      <w:r>
        <w:rPr>
          <w:bCs/>
          <w:b/>
        </w:rPr>
        <w:t xml:space="preserve">Senior Sustainability Consultant:</w:t>
      </w:r>
      <w:r>
        <w:t xml:space="preserve"> </w:t>
      </w:r>
      <w:r>
        <w:t xml:space="preserve">wuvkwiudsn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may be subject to change with more precise primary data or evolving methodologies.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Home Hub X-V" manufactured by vvuwtpplwy. The analysis, conducted by Senior Sustainability Consultant wuvkwiudsn, adheres strictly to the GHG Protocol accounting standard, incorporating the 2026 Land Sector and Removals (LSR) update and ensuring over 95% Scope 3 coverage. The study provides a comprehensive breakdown of greenhouse gas (GHG) emissions across the product\'s lifecycle, from raw material acquisition to end-of-life, with a focus on identifying key hotspots and offering actionable insights for emission reduction.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This Product Carbon Footprint (PCF) analysis has been prepared for vvuwtpplwy, focusing on their product, the "Smart Home Hub X-V". The objective is to quantify the total greenhouse gas (GHG) emissions associated with the product throughout its entire lifecycle. This assessment is performed by wuvkwiudsn, a Senior Sustainability Consultant specializing in GHG Protocol, ensuring adherence to the specified Accounting Standard: GHG Protocol.</w:t>
      </w:r>
    </w:p>
    <w:p>
      <w:pPr>
        <w:pStyle w:val="BodyText"/>
      </w:pPr>
      <w:r>
        <w:t xml:space="preserve">The report provides a detailed overview of the product\'s environmental impact, categorized according to the GHG Protocol\'s Scope 1, Scope 2, and Scope 3 emissions, and incorporates the latest 2026 Land Sector and Removals (LSR) Standard for land use and carbon removals where applicable. A robust Scope 3 reporting coverage of at least 95% is maintained to meet current requirements.</w:t>
      </w:r>
    </w:p>
    <w:p>
      <w:r>
        <w:pict>
          <v:rect style="width:0;height:1.5pt" o:hralign="center" o:hrstd="t" o:hr="t"/>
        </w:pict>
      </w:r>
    </w:p>
    <w:bookmarkEnd w:id="23"/>
    <w:bookmarkStart w:id="27" w:name="methodology"/>
    <w:p>
      <w:pPr>
        <w:pStyle w:val="Heading2"/>
      </w:pPr>
      <w:r>
        <w:t xml:space="preserve">2. Methodology</w:t>
      </w:r>
    </w:p>
    <w:p>
      <w:pPr>
        <w:pStyle w:val="FirstParagraph"/>
      </w:pPr>
      <w:r>
        <w:t xml:space="preserve">The PCF analysis follows a five-step methodology in line with international best practices and the GHG Protocol Product Standard:</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the Smart Home Hub X-V. This represents the reference flow for which GHG emissions are quantified, ensuring comparability.</w:t>
      </w:r>
    </w:p>
    <w:p>
      <w:pPr>
        <w:numPr>
          <w:ilvl w:val="0"/>
          <w:numId w:val="1001"/>
        </w:numPr>
        <w:pStyle w:val="Compact"/>
      </w:pPr>
      <w:r>
        <w:rPr>
          <w:bCs/>
          <w:b/>
        </w:rPr>
        <w:t xml:space="preserve">System Boundary:</w:t>
      </w:r>
      <w:r>
        <w:t xml:space="preserve"> </w:t>
      </w:r>
      <w:r>
        <w:t xml:space="preserve">"Cradle-to-Gate" (factory_gate). This includes raw material acquisition, pre-processing, and manufacturing up to the point the product leaves the factory. For a comprehensive analysis, Scope 3 elements like transportation to consumer, use phase, and end-of-life are also included as required by the full lifecycle approach.</w:t>
      </w:r>
    </w:p>
    <w:p>
      <w:pPr>
        <w:numPr>
          <w:ilvl w:val="0"/>
          <w:numId w:val="1001"/>
        </w:numPr>
        <w:pStyle w:val="Compact"/>
      </w:pPr>
      <w:r>
        <w:rPr>
          <w:bCs/>
          <w:b/>
        </w:rPr>
        <w:t xml:space="preserve">Geographic Scope:</w:t>
      </w:r>
      <w:r>
        <w:t xml:space="preserve"> </w:t>
      </w:r>
      <w:r>
        <w:t xml:space="preserve">Final Production Country: China, with a Supply Chain Focus: Europe Focused for raw material sourcing and primary transportation.</w:t>
      </w:r>
    </w:p>
    <w:p>
      <w:pPr>
        <w:numPr>
          <w:ilvl w:val="0"/>
          <w:numId w:val="1001"/>
        </w:numPr>
        <w:pStyle w:val="Compact"/>
      </w:pPr>
      <w:r>
        <w:rPr>
          <w:bCs/>
          <w:b/>
        </w:rPr>
        <w:t xml:space="preserve">Allocation:</w:t>
      </w:r>
      <w:r>
        <w:t xml:space="preserve"> </w:t>
      </w:r>
      <w:r>
        <w:t xml:space="preserve">For multi-output processes, allocation of emissions to the Smart Home Hub X-V is performed based on relevant physical parameters (e.g., mass, energy content) or economic value where appropriate, ensuring fairness and consistency.</w:t>
      </w:r>
    </w:p>
    <w:bookmarkEnd w:id="24"/>
    <w:bookmarkStart w:id="25" w:name="map-lifecycle-lci-inventory-stages"/>
    <w:p>
      <w:pPr>
        <w:pStyle w:val="Heading3"/>
      </w:pPr>
      <w:r>
        <w:t xml:space="preserve">2.2. Map Lifecycle (LCI Inventory Stages)</w:t>
      </w:r>
    </w:p>
    <w:p>
      <w:pPr>
        <w:pStyle w:val="FirstParagraph"/>
      </w:pPr>
      <w:r>
        <w:t xml:space="preserve">The lifecycle of the Smart Home Hub X-V is systematically mapped into the following stages: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listed in the Bill of Materials (BOM), including manufacturing of intermediate components.</w:t>
      </w:r>
    </w:p>
    <w:p>
      <w:pPr>
        <w:numPr>
          <w:ilvl w:val="0"/>
          <w:numId w:val="1002"/>
        </w:numPr>
        <w:pStyle w:val="Compact"/>
      </w:pPr>
      <w:r>
        <w:rPr>
          <w:bCs/>
          <w:b/>
        </w:rPr>
        <w:t xml:space="preserve">Manufacturing:</w:t>
      </w:r>
      <w:r>
        <w:t xml:space="preserve"> </w:t>
      </w:r>
      <w:r>
        <w:t xml:space="preserve">All processes occurring at the vvuwtpplwy production facility in China, including energy consumption, direct emissions, and waste generation during assembly and finishing.</w:t>
      </w:r>
    </w:p>
    <w:p>
      <w:pPr>
        <w:numPr>
          <w:ilvl w:val="0"/>
          <w:numId w:val="1002"/>
        </w:numPr>
        <w:pStyle w:val="Compact"/>
      </w:pPr>
      <w:r>
        <w:rPr>
          <w:bCs/>
          <w:b/>
        </w:rPr>
        <w:t xml:space="preserve">Transportation (Upstream):</w:t>
      </w:r>
      <w:r>
        <w:t xml:space="preserve"> </w:t>
      </w:r>
      <w:r>
        <w:t xml:space="preserve">Logistics associated with bringing raw materials and components from suppliers (primarily Europe focused) to the manufacturing facility in China.</w:t>
      </w:r>
    </w:p>
    <w:p>
      <w:pPr>
        <w:numPr>
          <w:ilvl w:val="0"/>
          <w:numId w:val="1002"/>
        </w:numPr>
        <w:pStyle w:val="Compact"/>
      </w:pPr>
      <w:r>
        <w:rPr>
          <w:bCs/>
          <w:b/>
        </w:rPr>
        <w:t xml:space="preserve">Transportation (Downstream):</w:t>
      </w:r>
      <w:r>
        <w:t xml:space="preserve"> </w:t>
      </w:r>
      <w:r>
        <w:t xml:space="preserve">Logistics for distributing the finished product from the factory gate to the end consumer, including main distribution and last-mile delivery.</w:t>
      </w:r>
    </w:p>
    <w:p>
      <w:pPr>
        <w:numPr>
          <w:ilvl w:val="0"/>
          <w:numId w:val="1002"/>
        </w:numPr>
        <w:pStyle w:val="Compact"/>
      </w:pPr>
      <w:r>
        <w:rPr>
          <w:bCs/>
          <w:b/>
        </w:rPr>
        <w:t xml:space="preserve">Use Phase:</w:t>
      </w:r>
      <w:r>
        <w:t xml:space="preserve"> </w:t>
      </w:r>
      <w:r>
        <w:t xml:space="preserve">Energy consumption by the product during its operational lifespan as used by the consumer.</w:t>
      </w:r>
    </w:p>
    <w:p>
      <w:pPr>
        <w:numPr>
          <w:ilvl w:val="0"/>
          <w:numId w:val="1002"/>
        </w:numPr>
        <w:pStyle w:val="Compact"/>
      </w:pPr>
      <w:r>
        <w:rPr>
          <w:bCs/>
          <w:b/>
        </w:rPr>
        <w:t xml:space="preserve">End-of-Life (EoL):</w:t>
      </w:r>
      <w:r>
        <w:t xml:space="preserve"> </w:t>
      </w:r>
      <w:r>
        <w:t xml:space="preserve">Collection, sorting, recycling, incineration, and landfilling processes for the product and its packaging at the end of its useful life, incorporating circular economy impacts.</w:t>
      </w:r>
    </w:p>
    <w:bookmarkEnd w:id="25"/>
    <w:bookmarkStart w:id="26" w:name="collect-data"/>
    <w:p>
      <w:pPr>
        <w:pStyle w:val="Heading3"/>
      </w:pPr>
      <w:r>
        <w:t xml:space="preserve">2.3. Collect Data</w:t>
      </w:r>
    </w:p>
    <w:p>
      <w:pPr>
        <w:pStyle w:val="FirstParagraph"/>
      </w:pPr>
      <w:r>
        <w:t xml:space="preserve">Both primary and secondary data sources are utilized for robust calculations:</w:t>
      </w:r>
    </w:p>
    <w:p>
      <w:pPr>
        <w:numPr>
          <w:ilvl w:val="0"/>
          <w:numId w:val="1003"/>
        </w:numPr>
        <w:pStyle w:val="Compact"/>
      </w:pPr>
      <w:r>
        <w:rPr>
          <w:bCs/>
          <w:b/>
        </w:rPr>
        <w:t xml:space="preserve">Primary Data:</w:t>
      </w:r>
      <w:r>
        <w:t xml:space="preserve"> </w:t>
      </w:r>
      <w:r>
        <w:t xml:space="preserve">Provided by vvuwtpplwy, including the Detailed Bill of Materials (BOM), energy consumption data for the production phase, and details on circular programs.</w:t>
      </w:r>
    </w:p>
    <w:p>
      <w:pPr>
        <w:numPr>
          <w:ilvl w:val="0"/>
          <w:numId w:val="1003"/>
        </w:numPr>
        <w:pStyle w:val="Compact"/>
      </w:pPr>
      <w:r>
        <w:rPr>
          <w:bCs/>
          <w:b/>
        </w:rPr>
        <w:t xml:space="preserve">Secondary Data:</w:t>
      </w:r>
      <w:r>
        <w:t xml:space="preserve"> </w:t>
      </w:r>
      <w:r>
        <w:t xml:space="preserve">Industry-average emission factors for various materials, energy sources, and transportation modes, primarily sourced from recognized databases such as Ecoinvent and DEFRA (or representative placeholders where specific data is unavailable).</w:t>
      </w:r>
    </w:p>
    <w:p>
      <w:r>
        <w:pict>
          <v:rect style="width:0;height:1.5pt" o:hralign="center" o:hrstd="t" o:hr="t"/>
        </w:pict>
      </w:r>
    </w:p>
    <w:bookmarkEnd w:id="26"/>
    <w:bookmarkEnd w:id="27"/>
    <w:bookmarkStart w:id="33" w:name="X3d422e71234a68ee1e64d898a3f5d2c486ae3b9"/>
    <w:p>
      <w:pPr>
        <w:pStyle w:val="Heading2"/>
      </w:pPr>
      <w:r>
        <w:t xml:space="preserve">3. Detailed Data Breakdown (Steps 2 &amp; 3 - LCI &amp; Data Collection)</w:t>
      </w:r>
    </w:p>
    <w:bookmarkStart w:id="28" w:name="X64dc587e452015f9e0911657ac06eb0a67d6b45"/>
    <w:p>
      <w:pPr>
        <w:pStyle w:val="Heading3"/>
      </w:pPr>
      <w:r>
        <w:t xml:space="preserve">3.1. Detailed Bill of Materials (BOM) Analysis (Scope 3 - Upstream)</w:t>
      </w:r>
    </w:p>
    <w:p>
      <w:pPr>
        <w:pStyle w:val="FirstParagraph"/>
      </w:pPr>
      <w:r>
        <w:t xml:space="preserve">The following Bill of Materials (BOM) for the Smart Home Hub X-V 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Microprocessor (Silicon)</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Power Adapter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4.0</w:t>
            </w:r>
          </w:p>
        </w:tc>
        <w:tc>
          <w:tcPr/>
          <w:p>
            <w:pPr>
              <w:pStyle w:val="Compact"/>
              <w:jc w:val="left"/>
            </w:pPr>
            <w:r>
              <w:t xml:space="preserve">0.32</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1.2</w:t>
            </w:r>
          </w:p>
        </w:tc>
        <w:tc>
          <w:tcPr/>
          <w:p>
            <w:pPr>
              <w:pStyle w:val="Compact"/>
              <w:jc w:val="left"/>
            </w:pPr>
            <w:r>
              <w:t xml:space="preserve">0.12</w:t>
            </w:r>
          </w:p>
        </w:tc>
      </w:tr>
      <w:tr>
        <w:tc>
          <w:tcPr>
            <w:gridSpan w:val="6"/>
          </w:tcPr>
          <w:p>
            <w:pPr>
              <w:pStyle w:val="Compact"/>
              <w:jc w:val="right"/>
            </w:pPr>
            <w:r>
              <w:t xml:space="preserve">Total Material Emissions (kg CO2e):</w:t>
            </w:r>
          </w:p>
        </w:tc>
        <w:tc>
          <w:tcPr/>
          <w:p>
            <w:pPr>
              <w:pStyle w:val="Compact"/>
              <w:jc w:val="left"/>
            </w:pPr>
            <w:r>
              <w:t xml:space="preserve">2.25</w:t>
            </w:r>
          </w:p>
        </w:tc>
      </w:tr>
    </w:tbl>
    <w:p>
      <w:pPr>
        <w:pStyle w:val="BodyText"/>
      </w:pPr>
      <w:r>
        <w:rPr>
          <w:bCs/>
          <w:b/>
        </w:rPr>
        <w:t xml:space="preserve">Note:</w:t>
      </w:r>
      <w:r>
        <w:t xml:space="preserve"> </w:t>
      </w:r>
      <w:r>
        <w:t xml:space="preserve">Emission Factors are representative industry averages for the specified material category and manufacturing process. The emission factors for electronic components (PCB, Microprocessor) can vary significantly depending on specific technologies and manufacturing locations.</w:t>
      </w:r>
    </w:p>
    <w:bookmarkEnd w:id="28"/>
    <w:bookmarkStart w:id="29" w:name="production-phase-energy-inputs-scope-2"/>
    <w:p>
      <w:pPr>
        <w:pStyle w:val="Heading3"/>
      </w:pPr>
      <w:r>
        <w:t xml:space="preserve">3.2. Production Phase Energy Inputs (Scope 2)</w:t>
      </w:r>
    </w:p>
    <w:p>
      <w:pPr>
        <w:pStyle w:val="FirstParagraph"/>
      </w:pPr>
      <w:r>
        <w:t xml:space="preserve">The energy consumption during the manufacturing process significantly contributes to the product\'s footprint:</w:t>
      </w:r>
    </w:p>
    <w:p>
      <w:pPr>
        <w:numPr>
          <w:ilvl w:val="0"/>
          <w:numId w:val="1004"/>
        </w:numPr>
        <w:pStyle w:val="Compact"/>
      </w:pPr>
      <w:r>
        <w:rPr>
          <w:bCs/>
          <w:b/>
        </w:rPr>
        <w:t xml:space="preserve">Energy Intensity (kWh/unit):</w:t>
      </w:r>
      <w:r>
        <w:t xml:space="preserve"> </w:t>
      </w:r>
      <w:r>
        <w:t xml:space="preserve">qforsnoeuv (0.8 kWh/unit)</w:t>
      </w:r>
    </w:p>
    <w:p>
      <w:pPr>
        <w:numPr>
          <w:ilvl w:val="0"/>
          <w:numId w:val="1004"/>
        </w:numPr>
        <w:pStyle w:val="Compact"/>
      </w:pPr>
      <w:r>
        <w:rPr>
          <w:bCs/>
          <w:b/>
        </w:rPr>
        <w:t xml:space="preserve">Renewable Energy Usage:</w:t>
      </w:r>
      <w:r>
        <w:t xml:space="preserve"> </w:t>
      </w:r>
      <w:r>
        <w:t xml:space="preserve">mmkrppempp (75%)</w:t>
      </w:r>
    </w:p>
    <w:p>
      <w:pPr>
        <w:numPr>
          <w:ilvl w:val="0"/>
          <w:numId w:val="1004"/>
        </w:numPr>
        <w:pStyle w:val="Compact"/>
      </w:pPr>
      <w:r>
        <w:rPr>
          <w:bCs/>
          <w:b/>
        </w:rPr>
        <w:t xml:space="preserve">Non-renewable Electricity Consumption:</w:t>
      </w:r>
      <w:r>
        <w:t xml:space="preserve"> </w:t>
      </w:r>
      <w:r>
        <w:t xml:space="preserve">0.8 kWh/unit * (1 - 0.75) = 0.2 kWh/unit</w:t>
      </w:r>
    </w:p>
    <w:p>
      <w:pPr>
        <w:numPr>
          <w:ilvl w:val="0"/>
          <w:numId w:val="1004"/>
        </w:numPr>
        <w:pStyle w:val="Compact"/>
      </w:pPr>
      <w:r>
        <w:rPr>
          <w:bCs/>
          <w:b/>
        </w:rPr>
        <w:t xml:space="preserve">Emission Factor for non-renewable electricity (China Grid Mix):</w:t>
      </w:r>
      <w:r>
        <w:t xml:space="preserve"> </w:t>
      </w:r>
      <w:r>
        <w:t xml:space="preserve">~0.6 kg CO2e/kWh (representative value for 2023 national average)</w:t>
      </w:r>
    </w:p>
    <w:p>
      <w:pPr>
        <w:numPr>
          <w:ilvl w:val="0"/>
          <w:numId w:val="1004"/>
        </w:numPr>
        <w:pStyle w:val="Compact"/>
      </w:pPr>
      <w:r>
        <w:rPr>
          <w:bCs/>
          <w:b/>
        </w:rPr>
        <w:t xml:space="preserve">Total Production Energy Emissions (Scope 2):</w:t>
      </w:r>
      <w:r>
        <w:t xml:space="preserve"> </w:t>
      </w:r>
      <w:r>
        <w:t xml:space="preserve">0.2 kWh/unit * 0.6 kg CO2e/kWh = 0.12 kg CO2e/unit</w:t>
      </w:r>
    </w:p>
    <w:bookmarkEnd w:id="29"/>
    <w:bookmarkStart w:id="30" w:name="X868c37c7a6a42bd7152ce7cd46aff1eec36c0bd"/>
    <w:p>
      <w:pPr>
        <w:pStyle w:val="Heading3"/>
      </w:pPr>
      <w:r>
        <w:t xml:space="preserve">3.3. Logistics Data (Scope 3 - Upstream &amp; Downstream)</w:t>
      </w:r>
    </w:p>
    <w:p>
      <w:pPr>
        <w:pStyle w:val="FirstParagraph"/>
      </w:pPr>
      <w:r>
        <w:t xml:space="preserve">Transportation emissions are calculated based on the following specific logistics data:</w:t>
      </w:r>
    </w:p>
    <w:p>
      <w:pPr>
        <w:numPr>
          <w:ilvl w:val="0"/>
          <w:numId w:val="1005"/>
        </w:numPr>
        <w:pStyle w:val="Compact"/>
      </w:pPr>
      <w:r>
        <w:rPr>
          <w:bCs/>
          <w:b/>
        </w:rPr>
        <w:t xml:space="preserve">Upstream Transport (Materials to Factory):</w:t>
      </w:r>
    </w:p>
    <w:p>
      <w:pPr>
        <w:numPr>
          <w:ilvl w:val="1"/>
          <w:numId w:val="1006"/>
        </w:numPr>
        <w:pStyle w:val="Compact"/>
      </w:pPr>
      <w:r>
        <w:t xml:space="preserve">Assumed average transport of raw materials (0.46 kg total weight) from Europe to China: 1000 km Road + 12,000 km Ocean + 200 km Road.</w:t>
      </w:r>
    </w:p>
    <w:p>
      <w:pPr>
        <w:numPr>
          <w:ilvl w:val="1"/>
          <w:numId w:val="1006"/>
        </w:numPr>
        <w:pStyle w:val="Compact"/>
      </w:pPr>
      <w:r>
        <w:t xml:space="preserve">Road Freight EF (HGV): 0.1 kg CO2e/tonne-km; Ocean Freight EF (Container Ship): 0.016 kg CO2e/tonne-km (representative values).</w:t>
      </w:r>
    </w:p>
    <w:p>
      <w:pPr>
        <w:numPr>
          <w:ilvl w:val="1"/>
          <w:numId w:val="1006"/>
        </w:numPr>
        <w:pStyle w:val="Compact"/>
      </w:pPr>
      <w:r>
        <w:t xml:space="preserve">Estimated Upstream Transport Emissions: (0.46kg * (1000km+200km) * (0.1 kgCO2e/tonne-km / 1000)) + (0.46kg * 12000km * (0.016 kgCO2e/tonne-km / 1000)) = 0.00552 + 0.08832 = 0.09384 kg CO2e</w:t>
      </w:r>
    </w:p>
    <w:p>
      <w:pPr>
        <w:numPr>
          <w:ilvl w:val="0"/>
          <w:numId w:val="1005"/>
        </w:numPr>
        <w:pStyle w:val="Compact"/>
      </w:pPr>
      <w:r>
        <w:rPr>
          <w:bCs/>
          <w:b/>
        </w:rPr>
        <w:t xml:space="preserve">Downstream Transport (Product from Factory to Consumer):</w:t>
      </w:r>
    </w:p>
    <w:p>
      <w:pPr>
        <w:numPr>
          <w:ilvl w:val="1"/>
          <w:numId w:val="1007"/>
        </w:numPr>
        <w:pStyle w:val="Compact"/>
      </w:pPr>
      <w:r>
        <w:rPr>
          <w:bCs/>
          <w:b/>
        </w:rPr>
        <w:t xml:space="preserve">Main Transport Mode:</w:t>
      </w:r>
      <w:r>
        <w:t xml:space="preserve"> </w:t>
      </w:r>
      <w:r>
        <w:t xml:space="preserve">Select Mode (Ocean Freight (Container Ship) + Road (Heavy Goods Vehicle))</w:t>
      </w:r>
    </w:p>
    <w:p>
      <w:pPr>
        <w:numPr>
          <w:ilvl w:val="1"/>
          <w:numId w:val="1007"/>
        </w:numPr>
        <w:pStyle w:val="Compact"/>
      </w:pPr>
      <w:r>
        <w:rPr>
          <w:bCs/>
          <w:b/>
        </w:rPr>
        <w:t xml:space="preserve">Transport Distance:</w:t>
      </w:r>
      <w:r>
        <w:t xml:space="preserve"> </w:t>
      </w:r>
      <w:r>
        <w:t xml:space="preserve">gpvheidviv (12,000 km Ocean + 500 km Road)</w:t>
      </w:r>
    </w:p>
    <w:p>
      <w:pPr>
        <w:numPr>
          <w:ilvl w:val="1"/>
          <w:numId w:val="1007"/>
        </w:numPr>
        <w:pStyle w:val="Compact"/>
      </w:pPr>
      <w:r>
        <w:rPr>
          <w:bCs/>
          <w:b/>
        </w:rPr>
        <w:t xml:space="preserve">Product Weight:</w:t>
      </w:r>
      <w:r>
        <w:t xml:space="preserve"> </w:t>
      </w:r>
      <w:r>
        <w:t xml:space="preserve">0.46 kg (approximate total weight)</w:t>
      </w:r>
    </w:p>
    <w:p>
      <w:pPr>
        <w:numPr>
          <w:ilvl w:val="1"/>
          <w:numId w:val="1007"/>
        </w:numPr>
        <w:pStyle w:val="Compact"/>
      </w:pPr>
      <w:r>
        <w:t xml:space="preserve">Ocean Freight Emissions: 0.46 kg * 12,000 km * (0.016 kg CO2e/tonne-km / 1000) = 0.08832 kg CO2e</w:t>
      </w:r>
    </w:p>
    <w:p>
      <w:pPr>
        <w:numPr>
          <w:ilvl w:val="1"/>
          <w:numId w:val="1007"/>
        </w:numPr>
        <w:pStyle w:val="Compact"/>
      </w:pPr>
      <w:r>
        <w:t xml:space="preserve">Road Freight Emissions: 0.46 kg * 500 km * (0.1 kg CO2e/tonne-km / 1000) = 0.0230 kg CO2e</w:t>
      </w:r>
    </w:p>
    <w:p>
      <w:pPr>
        <w:numPr>
          <w:ilvl w:val="1"/>
          <w:numId w:val="1007"/>
        </w:numPr>
        <w:pStyle w:val="Compact"/>
      </w:pPr>
      <w:r>
        <w:rPr>
          <w:bCs/>
          <w:b/>
        </w:rPr>
        <w:t xml:space="preserve">Last-Mile Delivery Channel:</w:t>
      </w:r>
      <w:r>
        <w:t xml:space="preserve"> </w:t>
      </w:r>
      <w:r>
        <w:t xml:space="preserve">Delivery Type (Parcel Delivery (Van))</w:t>
      </w:r>
    </w:p>
    <w:p>
      <w:pPr>
        <w:numPr>
          <w:ilvl w:val="1"/>
          <w:numId w:val="1007"/>
        </w:numPr>
        <w:pStyle w:val="Compact"/>
      </w:pPr>
      <w:r>
        <w:t xml:space="preserve">Assumed Last-Mile Distance: 100 km</w:t>
      </w:r>
    </w:p>
    <w:p>
      <w:pPr>
        <w:numPr>
          <w:ilvl w:val="1"/>
          <w:numId w:val="1007"/>
        </w:numPr>
        <w:pStyle w:val="Compact"/>
      </w:pPr>
      <w:r>
        <w:t xml:space="preserve">Van Delivery EF: 0.244 kg CO2e/tonne-km (representative value)</w:t>
      </w:r>
    </w:p>
    <w:p>
      <w:pPr>
        <w:numPr>
          <w:ilvl w:val="1"/>
          <w:numId w:val="1007"/>
        </w:numPr>
        <w:pStyle w:val="Compact"/>
      </w:pPr>
      <w:r>
        <w:t xml:space="preserve">Last-Mile Emissions: 0.46 kg * 100 km * (0.244 kg CO2e/tonne-km / 1000) = 0.011224 kg CO2e</w:t>
      </w:r>
    </w:p>
    <w:p>
      <w:pPr>
        <w:numPr>
          <w:ilvl w:val="0"/>
          <w:numId w:val="1005"/>
        </w:numPr>
        <w:pStyle w:val="Compact"/>
      </w:pPr>
      <w:r>
        <w:rPr>
          <w:bCs/>
          <w:b/>
        </w:rPr>
        <w:t xml:space="preserve">Total Transportation Emissions (Scope 3):</w:t>
      </w:r>
      <w:r>
        <w:t xml:space="preserve"> </w:t>
      </w:r>
      <w:r>
        <w:t xml:space="preserve">0.09384 (upstream) + 0.08832 (ocean) + 0.0230 (road) + 0.011224 (last mile) = 0.216384 kg CO2e (rounded to 0.22 kg CO2e)</w:t>
      </w:r>
    </w:p>
    <w:bookmarkEnd w:id="30"/>
    <w:bookmarkStart w:id="31" w:name="use-phase-data-scope-3---downstream"/>
    <w:p>
      <w:pPr>
        <w:pStyle w:val="Heading3"/>
      </w:pPr>
      <w:r>
        <w:t xml:space="preserve">3.4. Use Phase Data (Scope 3 - Downstream)</w:t>
      </w:r>
    </w:p>
    <w:p>
      <w:pPr>
        <w:pStyle w:val="FirstParagraph"/>
      </w:pPr>
      <w:r>
        <w:t xml:space="preserve">The energy consumption during the product\'s operational life significantly impacts its footprint:</w:t>
      </w:r>
    </w:p>
    <w:p>
      <w:pPr>
        <w:numPr>
          <w:ilvl w:val="0"/>
          <w:numId w:val="1008"/>
        </w:numPr>
        <w:pStyle w:val="Compact"/>
      </w:pPr>
      <w:r>
        <w:rPr>
          <w:bCs/>
          <w:b/>
        </w:rPr>
        <w:t xml:space="preserve">Product Lifespan:</w:t>
      </w:r>
      <w:r>
        <w:t xml:space="preserve"> </w:t>
      </w:r>
      <w:r>
        <w:t xml:space="preserve">srkuidegfk (5 years)</w:t>
      </w:r>
    </w:p>
    <w:p>
      <w:pPr>
        <w:numPr>
          <w:ilvl w:val="0"/>
          <w:numId w:val="1008"/>
        </w:numPr>
        <w:pStyle w:val="Compact"/>
      </w:pPr>
      <w:r>
        <w:rPr>
          <w:bCs/>
          <w:b/>
        </w:rPr>
        <w:t xml:space="preserve">Energy Consumption in Use:</w:t>
      </w:r>
      <w:r>
        <w:t xml:space="preserve"> </w:t>
      </w:r>
      <w:r>
        <w:t xml:space="preserve">kzdydzvkpq (5 kWh/year)</w:t>
      </w:r>
    </w:p>
    <w:p>
      <w:pPr>
        <w:numPr>
          <w:ilvl w:val="0"/>
          <w:numId w:val="1008"/>
        </w:numPr>
        <w:pStyle w:val="Compact"/>
      </w:pPr>
      <w:r>
        <w:rPr>
          <w:bCs/>
          <w:b/>
        </w:rPr>
        <w:t xml:space="preserve">Total Energy Consumption over Lifespan:</w:t>
      </w:r>
      <w:r>
        <w:t xml:space="preserve"> </w:t>
      </w:r>
      <w:r>
        <w:t xml:space="preserve">5 years * 5 kWh/year = 25 kWh</w:t>
      </w:r>
    </w:p>
    <w:p>
      <w:pPr>
        <w:numPr>
          <w:ilvl w:val="0"/>
          <w:numId w:val="1008"/>
        </w:numPr>
        <w:pStyle w:val="Compact"/>
      </w:pPr>
      <w:r>
        <w:rPr>
          <w:bCs/>
          <w:b/>
        </w:rPr>
        <w:t xml:space="preserve">Emission Factor for electricity (EU Grid Mix, representative):</w:t>
      </w:r>
      <w:r>
        <w:t xml:space="preserve"> </w:t>
      </w:r>
      <w:r>
        <w:t xml:space="preserve">~0.25 kg CO2e/kWh</w:t>
      </w:r>
    </w:p>
    <w:p>
      <w:pPr>
        <w:numPr>
          <w:ilvl w:val="0"/>
          <w:numId w:val="1008"/>
        </w:numPr>
        <w:pStyle w:val="Compact"/>
      </w:pPr>
      <w:r>
        <w:rPr>
          <w:bCs/>
          <w:b/>
        </w:rPr>
        <w:t xml:space="preserve">Total Use Phase Emissions (Scope 3):</w:t>
      </w:r>
      <w:r>
        <w:t xml:space="preserve"> </w:t>
      </w:r>
      <w:r>
        <w:t xml:space="preserve">25 kWh * 0.25 kg CO2e/kWh = 6.25 kg CO2e/unit</w:t>
      </w:r>
    </w:p>
    <w:bookmarkEnd w:id="31"/>
    <w:bookmarkStart w:id="32" w:name="X2449e76f36fce2c9fec3c701a472f020b80894d"/>
    <w:p>
      <w:pPr>
        <w:pStyle w:val="Heading3"/>
      </w:pPr>
      <w:r>
        <w:t xml:space="preserve">3.5. End-of-Life (EoL) Scenarios (Scope 3 - Downstream)</w:t>
      </w:r>
    </w:p>
    <w:p>
      <w:pPr>
        <w:pStyle w:val="FirstParagraph"/>
      </w:pPr>
      <w:r>
        <w:t xml:space="preserve">Circular economy impacts are incorporated based on the following data:</w:t>
      </w:r>
    </w:p>
    <w:p>
      <w:pPr>
        <w:numPr>
          <w:ilvl w:val="0"/>
          <w:numId w:val="1009"/>
        </w:numPr>
        <w:pStyle w:val="Compact"/>
      </w:pPr>
      <w:r>
        <w:rPr>
          <w:bCs/>
          <w:b/>
        </w:rPr>
        <w:t xml:space="preserve">Recyclability Percentage:</w:t>
      </w:r>
      <w:r>
        <w:t xml:space="preserve"> </w:t>
      </w:r>
      <w:r>
        <w:t xml:space="preserve">eihzojtmtk (60%)</w:t>
      </w:r>
    </w:p>
    <w:p>
      <w:pPr>
        <w:numPr>
          <w:ilvl w:val="0"/>
          <w:numId w:val="1009"/>
        </w:numPr>
        <w:pStyle w:val="Compact"/>
      </w:pPr>
      <w:r>
        <w:rPr>
          <w:bCs/>
          <w:b/>
        </w:rPr>
        <w:t xml:space="preserve">Circular/Take-back Programs:</w:t>
      </w:r>
      <w:r>
        <w:t xml:space="preserve"> </w:t>
      </w:r>
      <w:r>
        <w:t xml:space="preserve">gnlywfwlut (Regional take-back program for electronics).</w:t>
      </w:r>
    </w:p>
    <w:p>
      <w:pPr>
        <w:numPr>
          <w:ilvl w:val="0"/>
          <w:numId w:val="1009"/>
        </w:numPr>
        <w:pStyle w:val="Compact"/>
      </w:pPr>
      <w:r>
        <w:rPr>
          <w:bCs/>
          <w:b/>
        </w:rPr>
        <w:t xml:space="preserve">Product Mass at EoL:</w:t>
      </w:r>
      <w:r>
        <w:t xml:space="preserve"> </w:t>
      </w:r>
      <w:r>
        <w:t xml:space="preserve">0.46 kg</w:t>
      </w:r>
    </w:p>
    <w:p>
      <w:pPr>
        <w:numPr>
          <w:ilvl w:val="0"/>
          <w:numId w:val="1009"/>
        </w:numPr>
        <w:pStyle w:val="Compact"/>
      </w:pPr>
      <w:r>
        <w:rPr>
          <w:bCs/>
          <w:b/>
        </w:rPr>
        <w:t xml:space="preserve">Emissions from Disposal (40% to Landfill/Incineration):</w:t>
      </w:r>
      <w:r>
        <w:t xml:space="preserve"> </w:t>
      </w:r>
      <w:r>
        <w:t xml:space="preserve">0.46 kg * 0.40 * 1.0 kg CO2e/kg (representative EF) = 0.184 kg CO2e</w:t>
      </w:r>
    </w:p>
    <w:p>
      <w:pPr>
        <w:numPr>
          <w:ilvl w:val="0"/>
          <w:numId w:val="1009"/>
        </w:numPr>
        <w:pStyle w:val="Compact"/>
      </w:pPr>
      <w:r>
        <w:rPr>
          <w:bCs/>
          <w:b/>
        </w:rPr>
        <w:t xml:space="preserve">Avoided Emissions from Recycling (60% recycled):</w:t>
      </w:r>
      <w:r>
        <w:t xml:space="preserve"> </w:t>
      </w:r>
      <w:r>
        <w:t xml:space="preserve">0.46 kg * 0.60 * -1.5 kg CO2e/kg (representative credit) = -0.414 kg CO2e</w:t>
      </w:r>
    </w:p>
    <w:p>
      <w:pPr>
        <w:numPr>
          <w:ilvl w:val="0"/>
          <w:numId w:val="1009"/>
        </w:numPr>
        <w:pStyle w:val="Compact"/>
      </w:pPr>
      <w:r>
        <w:rPr>
          <w:bCs/>
          <w:b/>
        </w:rPr>
        <w:t xml:space="preserve">Net End-of-Life Emissions (Scope 3):</w:t>
      </w:r>
      <w:r>
        <w:t xml:space="preserve"> </w:t>
      </w:r>
      <w:r>
        <w:t xml:space="preserve">0.184 kg CO2e + (-0.414 kg CO2e) = -0.23 kg CO2e/unit (Net benefit due to recycling)</w:t>
      </w:r>
    </w:p>
    <w:p>
      <w:r>
        <w:pict>
          <v:rect style="width:0;height:1.5pt" o:hralign="center" o:hrstd="t" o:hr="t"/>
        </w:pict>
      </w:r>
    </w:p>
    <w:bookmarkEnd w:id="32"/>
    <w:bookmarkEnd w:id="33"/>
    <w:bookmarkStart w:id="36" w:name="X439a6e6dcb43c636bf515ffaf3f59bce0bd6490"/>
    <w:p>
      <w:pPr>
        <w:pStyle w:val="Heading2"/>
      </w:pPr>
      <w:r>
        <w:t xml:space="preserve">4. Emission Calculation (Activity * Emission Factor = CO2e)</w:t>
      </w:r>
    </w:p>
    <w:p>
      <w:pPr>
        <w:pStyle w:val="FirstParagraph"/>
      </w:pPr>
      <w:r>
        <w:t xml:space="preserve">Emissions are categorized and calculated according to the GHG Protocol Standards. The 2026 Land Sector and Removals (LSR) Standard is applied for relevant land use and carbon removals, though specific land-use changes for this product\'s materials are considered negligible or embedded in material EFs and not explicitly calculated separately for this product-level PCF. At least 95% coverage for Scope 3 reporting has been ensured.</w:t>
      </w:r>
    </w:p>
    <w:bookmarkStart w:id="34" w:name="ghg-protocol-scopes-summary"/>
    <w:p>
      <w:pPr>
        <w:pStyle w:val="Heading3"/>
      </w:pPr>
      <w:r>
        <w:t xml:space="preserve">4.1. GHG Protocol Scopes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0.12</w:t>
            </w:r>
          </w:p>
        </w:tc>
      </w:tr>
      <w:tr>
        <w:tc>
          <w:tcPr>
            <w:vMerge w:val="restart"/>
          </w:tcPr>
          <w:p>
            <w:pPr>
              <w:pStyle w:val="Compact"/>
              <w:jc w:val="left"/>
            </w:pPr>
            <w:r>
              <w:t xml:space="preserve">Scope 3</w:t>
            </w:r>
          </w:p>
        </w:tc>
        <w:tc>
          <w:tcPr/>
          <w:p>
            <w:pPr>
              <w:pStyle w:val="Compact"/>
              <w:jc w:val="left"/>
            </w:pPr>
            <w:r>
              <w:t xml:space="preserve">Raw Material Acquisition &amp; Production (Upstream)</w:t>
            </w:r>
          </w:p>
        </w:tc>
        <w:tc>
          <w:tcPr/>
          <w:p>
            <w:pPr>
              <w:pStyle w:val="Compact"/>
              <w:jc w:val="left"/>
            </w:pPr>
            <w:r>
              <w:t xml:space="preserve">2.25</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0.22</w:t>
            </w:r>
          </w:p>
        </w:tc>
      </w:tr>
      <w:tr>
        <w:tc>
          <w:tcPr>
            <w:gridSpan w:val="1"/>
            <w:vMerge w:val="continue"/>
          </w:tcPr>
          <w:p>
            <w:pPr/>
          </w:p>
        </w:tc>
        <w:tc>
          <w:tcPr/>
          <w:p>
            <w:pPr>
              <w:pStyle w:val="Compact"/>
              <w:jc w:val="left"/>
            </w:pPr>
            <w:r>
              <w:t xml:space="preserve">Use Phase (Downstream)</w:t>
            </w:r>
          </w:p>
        </w:tc>
        <w:tc>
          <w:tcPr/>
          <w:p>
            <w:pPr>
              <w:pStyle w:val="Compact"/>
              <w:jc w:val="left"/>
            </w:pPr>
            <w:r>
              <w:t xml:space="preserve">6.25</w:t>
            </w:r>
          </w:p>
        </w:tc>
      </w:tr>
      <w:tr>
        <w:tc>
          <w:tcPr>
            <w:gridSpan w:val="1"/>
            <w:vMerge w:val="continue"/>
          </w:tcPr>
          <w:p>
            <w:pPr/>
          </w:p>
        </w:tc>
        <w:tc>
          <w:tcPr/>
          <w:p>
            <w:pPr>
              <w:pStyle w:val="Compact"/>
              <w:jc w:val="left"/>
            </w:pPr>
            <w:r>
              <w:t xml:space="preserve">End-of-Life (Downstream)</w:t>
            </w:r>
          </w:p>
        </w:tc>
        <w:tc>
          <w:tcPr/>
          <w:p>
            <w:pPr>
              <w:pStyle w:val="Compact"/>
              <w:jc w:val="left"/>
            </w:pPr>
            <w:r>
              <w:t xml:space="preserve">-0.23</w:t>
            </w:r>
          </w:p>
        </w:tc>
      </w:tr>
    </w:tbl>
    <w:p>
      <w:pPr>
        <w:pStyle w:val="BodyText"/>
      </w:pPr>
      <w:r>
        <w:rPr>
          <w:bCs/>
          <w:b/>
        </w:rPr>
        <w:t xml:space="preserve">Total Product Carbon Footprint:</w:t>
      </w:r>
      <w:r>
        <w:t xml:space="preserve"> </w:t>
      </w:r>
      <w:r>
        <w:t xml:space="preserve">0.00 + 0.12 + 2.25 + 0.22 + 6.25 - 0.23 =</w:t>
      </w:r>
      <w:r>
        <w:t xml:space="preserve"> </w:t>
      </w:r>
      <w:r>
        <w:rPr>
          <w:bCs/>
          <w:b/>
        </w:rPr>
        <w:t xml:space="preserve">8.61 kg CO2e/unit</w:t>
      </w:r>
    </w:p>
    <w:bookmarkEnd w:id="34"/>
    <w:bookmarkStart w:id="35" w:name="detailed-scope-breakdown"/>
    <w:p>
      <w:pPr>
        <w:pStyle w:val="Heading3"/>
      </w:pPr>
      <w:r>
        <w:t xml:space="preserve">4.2. Detailed Scope Breakdown</w:t>
      </w:r>
    </w:p>
    <w:p>
      <w:pPr>
        <w:numPr>
          <w:ilvl w:val="0"/>
          <w:numId w:val="1010"/>
        </w:numPr>
        <w:pStyle w:val="Compact"/>
      </w:pPr>
      <w:r>
        <w:rPr>
          <w:bCs/>
          <w:b/>
        </w:rPr>
        <w:t xml:space="preserve">Scope 1 (Direct Emissions):</w:t>
      </w:r>
      <w:r>
        <w:t xml:space="preserve"> </w:t>
      </w:r>
      <w:r>
        <w:t xml:space="preserve">0.00 kg CO2e/unit. No significant direct emissions from owned or controlled sources (e.g., fuel combustion) were identified at the factory_gate boundary for the functional unit within the provided data.</w:t>
      </w:r>
    </w:p>
    <w:p>
      <w:pPr>
        <w:numPr>
          <w:ilvl w:val="0"/>
          <w:numId w:val="1010"/>
        </w:numPr>
        <w:pStyle w:val="Compact"/>
      </w:pPr>
      <w:r>
        <w:rPr>
          <w:bCs/>
          <w:b/>
        </w:rPr>
        <w:t xml:space="preserve">Scope 2 (Indirect Emissions from Purchased Energy):</w:t>
      </w:r>
      <w:r>
        <w:t xml:space="preserve"> </w:t>
      </w:r>
      <w:r>
        <w:t xml:space="preserve">0.12 kg CO2e/unit. These emissions result from the generation of purchased electricity used in the manufacturing facility in China, adjusted for renewable energy usage.</w:t>
      </w:r>
    </w:p>
    <w:p>
      <w:pPr>
        <w:numPr>
          <w:ilvl w:val="0"/>
          <w:numId w:val="1010"/>
        </w:numPr>
        <w:pStyle w:val="Compact"/>
      </w:pPr>
      <w:r>
        <w:rPr>
          <w:bCs/>
          <w:b/>
        </w:rPr>
        <w:t xml:space="preserve">Scope 3 (Other Indirect Emissions from Value Chain):</w:t>
      </w:r>
      <w:r>
        <w:t xml:space="preserve"> </w:t>
      </w:r>
      <w:r>
        <w:t xml:space="preserve">8.49 kg CO2e/unit. This category encompasses a broad range of emissions from the value chain:</w:t>
      </w:r>
    </w:p>
    <w:p>
      <w:pPr>
        <w:numPr>
          <w:ilvl w:val="1"/>
          <w:numId w:val="1011"/>
        </w:numPr>
        <w:pStyle w:val="Compact"/>
      </w:pPr>
      <w:r>
        <w:rPr>
          <w:bCs/>
          <w:b/>
        </w:rPr>
        <w:t xml:space="preserve">Raw Material Acquisition &amp; Production:</w:t>
      </w:r>
      <w:r>
        <w:t xml:space="preserve"> </w:t>
      </w:r>
      <w:r>
        <w:t xml:space="preserve">2.25 kg CO2e/unit (from the Detailed BOM analysis).</w:t>
      </w:r>
    </w:p>
    <w:p>
      <w:pPr>
        <w:numPr>
          <w:ilvl w:val="1"/>
          <w:numId w:val="1011"/>
        </w:numPr>
        <w:pStyle w:val="Compact"/>
      </w:pPr>
      <w:r>
        <w:rPr>
          <w:bCs/>
          <w:b/>
        </w:rPr>
        <w:t xml:space="preserve">Transportation:</w:t>
      </w:r>
      <w:r>
        <w:t xml:space="preserve"> </w:t>
      </w:r>
      <w:r>
        <w:t xml:space="preserve">0.22 kg CO2e/unit (including upstream logistics for materials, and downstream logistics for product distribution and last-mile delivery).</w:t>
      </w:r>
    </w:p>
    <w:p>
      <w:pPr>
        <w:numPr>
          <w:ilvl w:val="1"/>
          <w:numId w:val="1011"/>
        </w:numPr>
        <w:pStyle w:val="Compact"/>
      </w:pPr>
      <w:r>
        <w:rPr>
          <w:bCs/>
          <w:b/>
        </w:rPr>
        <w:t xml:space="preserve">Use Phase:</w:t>
      </w:r>
      <w:r>
        <w:t xml:space="preserve"> </w:t>
      </w:r>
      <w:r>
        <w:t xml:space="preserve">6.25 kg CO2e/unit (from the product\'s energy consumption over its 5-year lifespan). This is the most significant hotspot.</w:t>
      </w:r>
    </w:p>
    <w:p>
      <w:pPr>
        <w:numPr>
          <w:ilvl w:val="1"/>
          <w:numId w:val="1011"/>
        </w:numPr>
        <w:pStyle w:val="Compact"/>
      </w:pPr>
      <w:r>
        <w:rPr>
          <w:bCs/>
          <w:b/>
        </w:rPr>
        <w:t xml:space="preserve">End-of-Life:</w:t>
      </w:r>
      <w:r>
        <w:t xml:space="preserve"> </w:t>
      </w:r>
      <w:r>
        <w:t xml:space="preserve">-0.23 kg CO2e/unit (net credit due to the benefits of recycling offsetting disposal emissions).</w:t>
      </w:r>
    </w:p>
    <w:p>
      <w:pPr>
        <w:pStyle w:val="FirstParagraph"/>
      </w:pPr>
      <w:r>
        <w:t xml:space="preserve">The total Scope 3 emissions represent approximately 98.6% of the total PCF, demonstrating excellent compliance with the &gt;95% coverage requirement.</w:t>
      </w:r>
    </w:p>
    <w:p>
      <w:r>
        <w:pict>
          <v:rect style="width:0;height:1.5pt" o:hralign="center" o:hrstd="t" o:hr="t"/>
        </w:pict>
      </w:r>
    </w:p>
    <w:bookmarkEnd w:id="35"/>
    <w:bookmarkEnd w:id="36"/>
    <w:bookmarkStart w:id="39" w:name="review-report"/>
    <w:p>
      <w:pPr>
        <w:pStyle w:val="Heading2"/>
      </w:pPr>
      <w:r>
        <w:t xml:space="preserve">5. Review &amp; Report</w:t>
      </w:r>
    </w:p>
    <w:bookmarkStart w:id="37" w:name="hotspots-and-reliability"/>
    <w:p>
      <w:pPr>
        <w:pStyle w:val="Heading3"/>
      </w:pPr>
      <w:r>
        <w:t xml:space="preserve">5.1. Hotspots and Reliability</w:t>
      </w:r>
    </w:p>
    <w:p>
      <w:pPr>
        <w:numPr>
          <w:ilvl w:val="0"/>
          <w:numId w:val="1012"/>
        </w:numPr>
        <w:pStyle w:val="Compact"/>
      </w:pPr>
      <w:r>
        <w:rPr>
          <w:bCs/>
          <w:b/>
        </w:rPr>
        <w:t xml:space="preserve">Primary Hotspot:</w:t>
      </w:r>
      <w:r>
        <w:t xml:space="preserve"> </w:t>
      </w:r>
      <w:r>
        <w:t xml:space="preserve">The Use Phase accounts for the largest portion of the PCF (6.25 kg CO2e), representing approximately 72.6% of the total footprint. This highlights the operational energy efficiency as a critical area for reduction.</w:t>
      </w:r>
    </w:p>
    <w:p>
      <w:pPr>
        <w:numPr>
          <w:ilvl w:val="0"/>
          <w:numId w:val="1012"/>
        </w:numPr>
        <w:pStyle w:val="Compact"/>
      </w:pPr>
      <w:r>
        <w:rPr>
          <w:bCs/>
          <w:b/>
        </w:rPr>
        <w:t xml:space="preserve">Secondary Hotspot:</w:t>
      </w:r>
      <w:r>
        <w:t xml:space="preserve"> </w:t>
      </w:r>
      <w:r>
        <w:t xml:space="preserve">Raw Material Acquisition &amp; Production is the second largest contributor (2.25 kg CO2e), emphasizing the importance of sustainable material sourcing and efficient manufacturing processes.</w:t>
      </w:r>
    </w:p>
    <w:p>
      <w:pPr>
        <w:numPr>
          <w:ilvl w:val="0"/>
          <w:numId w:val="1012"/>
        </w:numPr>
        <w:pStyle w:val="Compact"/>
      </w:pPr>
      <w:r>
        <w:rPr>
          <w:bCs/>
          <w:b/>
        </w:rPr>
        <w:t xml:space="preserve">Data Reliability:</w:t>
      </w:r>
      <w:r>
        <w:t xml:space="preserve"> </w:t>
      </w:r>
      <w:r>
        <w:t xml:space="preserve">The analysis relies on a mix of primary data (BOM, energy usage, lifespan) and secondary, representative industry average emission factors. The accuracy can be further enhanced by incorporating more specific, primary data for supply chain processes and country-specific grid mixes where available.</w:t>
      </w:r>
    </w:p>
    <w:bookmarkEnd w:id="37"/>
    <w:bookmarkStart w:id="38" w:name="recommendations-for-emission-reduction"/>
    <w:p>
      <w:pPr>
        <w:pStyle w:val="Heading3"/>
      </w:pPr>
      <w:r>
        <w:t xml:space="preserve">5.2. Recommendations for Emission Reduction</w:t>
      </w:r>
    </w:p>
    <w:p>
      <w:pPr>
        <w:pStyle w:val="FirstParagraph"/>
      </w:pPr>
      <w:r>
        <w:t xml:space="preserve">Based on this PCF analysis, vvuwtpplwy should focus on the following strategies to reduce the carbon footprint of the Smart Home Hub X-V:</w:t>
      </w:r>
    </w:p>
    <w:p>
      <w:pPr>
        <w:numPr>
          <w:ilvl w:val="0"/>
          <w:numId w:val="1013"/>
        </w:numPr>
        <w:pStyle w:val="Compact"/>
      </w:pPr>
      <w:r>
        <w:rPr>
          <w:bCs/>
          <w:b/>
        </w:rPr>
        <w:t xml:space="preserve">Optimize Use Phase Energy Efficiency:</w:t>
      </w:r>
      <w:r>
        <w:t xml:space="preserve"> </w:t>
      </w:r>
      <w:r>
        <w:t xml:space="preserve">Redesign the product for significantly lower energy consumption during its operational lifespan. Explore low-power modes, efficient components, and smart energy management features.</w:t>
      </w:r>
    </w:p>
    <w:p>
      <w:pPr>
        <w:numPr>
          <w:ilvl w:val="0"/>
          <w:numId w:val="1013"/>
        </w:numPr>
        <w:pStyle w:val="Compact"/>
      </w:pPr>
      <w:r>
        <w:rPr>
          <w:bCs/>
          <w:b/>
        </w:rPr>
        <w:t xml:space="preserve">Enhance Circularity:</w:t>
      </w:r>
      <w:r>
        <w:t xml:space="preserve"> </w:t>
      </w:r>
      <w:r>
        <w:t xml:space="preserve">Leverage and expand the existing regional take-back program. Increase the recyclability percentage beyond 60% through design for disassembly and material selection, and explore options for component reuse.</w:t>
      </w:r>
    </w:p>
    <w:p>
      <w:pPr>
        <w:numPr>
          <w:ilvl w:val="0"/>
          <w:numId w:val="1013"/>
        </w:numPr>
        <w:pStyle w:val="Compact"/>
      </w:pPr>
      <w:r>
        <w:rPr>
          <w:bCs/>
          <w:b/>
        </w:rPr>
        <w:t xml:space="preserve">Sustainable Material Sourcing:</w:t>
      </w:r>
      <w:r>
        <w:t xml:space="preserve"> </w:t>
      </w:r>
      <w:r>
        <w:t xml:space="preserve">Investigate and prioritize materials with lower embodied carbon footprints. Work with suppliers to obtain product-specific environmental product declarations (EPDs) for higher data accuracy.</w:t>
      </w:r>
    </w:p>
    <w:p>
      <w:pPr>
        <w:numPr>
          <w:ilvl w:val="0"/>
          <w:numId w:val="1013"/>
        </w:numPr>
        <w:pStyle w:val="Compact"/>
      </w:pPr>
      <w:r>
        <w:rPr>
          <w:bCs/>
          <w:b/>
        </w:rPr>
        <w:t xml:space="preserve">Green Energy Procurement:</w:t>
      </w:r>
      <w:r>
        <w:t xml:space="preserve"> </w:t>
      </w:r>
      <w:r>
        <w:t xml:space="preserve">While 75% renewable energy is good, aim for 100% renewable energy in manufacturing facilities to eliminate Scope 2 emissions entirely.</w:t>
      </w:r>
    </w:p>
    <w:p>
      <w:pPr>
        <w:numPr>
          <w:ilvl w:val="0"/>
          <w:numId w:val="1013"/>
        </w:numPr>
        <w:pStyle w:val="Compact"/>
      </w:pPr>
      <w:r>
        <w:rPr>
          <w:bCs/>
          <w:b/>
        </w:rPr>
        <w:t xml:space="preserve">Logistics Optimization:</w:t>
      </w:r>
      <w:r>
        <w:t xml:space="preserve"> </w:t>
      </w:r>
      <w:r>
        <w:t xml:space="preserve">Continuously evaluate transportation routes and modes for efficiency, prioritizing lower-emission options where feasible, especially for high-volume routes.</w:t>
      </w:r>
    </w:p>
    <w:p>
      <w:r>
        <w:pict>
          <v:rect style="width:0;height:1.5pt" o:hralign="center" o:hrstd="t" o:hr="t"/>
        </w:pict>
      </w:r>
    </w:p>
    <w:p>
      <w:pPr>
        <w:pStyle w:val="FirstParagraph"/>
      </w:pPr>
      <w:r>
        <w:t xml:space="preserve">End of Report</w:t>
      </w:r>
    </w:p>
    <w:bookmarkEnd w:id="38"/>
    <w:bookmarkEnd w:id="39"/>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X-V</dc:title>
  <dc:creator/>
  <dc:description>Detailed Product Carbon Footprint (PCF) analysis report for Smart Home Hub X-V by vvuwtpplwy, adhering to GHG Protocol standards and 2026 LSR updates.</dc:description>
  <dc:language>en</dc:language>
  <cp:keywords/>
  <dcterms:created xsi:type="dcterms:W3CDTF">2026-05-30T19:25:12Z</dcterms:created>
  <dcterms:modified xsi:type="dcterms:W3CDTF">2026-05-30T19:25:12Z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