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(tzqgxyepvu)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Home Hub (tzqgxyepvu)</w:t>
      </w:r>
    </w:p>
    <w:p>
      <w:pPr>
        <w:pStyle w:val="BodyText"/>
      </w:pPr>
      <w:r>
        <w:rPr>
          <w:bCs/>
          <w:b/>
        </w:rPr>
        <w:t xml:space="preserve">Company Name:</w:t>
      </w:r>
      <w:r>
        <w:t xml:space="preserve"> </w:t>
      </w:r>
      <w:r>
        <w:t xml:space="preserve">EcoTech Solutions (ywqlntyqnk)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Eleanor Vance (yffhekuzmn)</w:t>
      </w:r>
    </w:p>
    <w:p>
      <w:pPr>
        <w:pStyle w:val="BodyText"/>
      </w:pPr>
      <w:r>
        <w:t xml:space="preserve">This report is generated based on available data and industry standards, employing simulated values for placeholder parameters. Actual values for a precise analysis would require primary data collection for all specified parameters.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Smart Home Hub (tzqgxyepvu)</w:t>
      </w:r>
    </w:p>
    <w:p>
      <w:pPr>
        <w:pStyle w:val="BodyText"/>
      </w:pPr>
      <w:r>
        <w:rPr>
          <w:bCs/>
          <w:b/>
        </w:rPr>
        <w:t xml:space="preserve">Generated Date:</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Smart Home Hub (tzqgxyepvu) manufactured by EcoTech Solutions (ywqlntyqnk). The analysis adheres strictly to the GHG Protocol Product Standard, integrating the latest 2026 requirements, including considerations for the Land Sector and Removals (LSR) Standard. The functional unit for this study is 1.0 unit of the Smart Home Hub. The primary system boundary is \'factory_gate\', extended to include the use phase and end-of-life stages to provide a comprehensive \'cradle-to-grave\' perspective as per specified parameters. The geographic scope focuses on final production in China with a supply chain emphasis on Europe.</w:t>
      </w:r>
    </w:p>
    <w:p>
      <w:pPr>
        <w:pStyle w:val="BodyText"/>
      </w:pPr>
      <w:r>
        <w:t xml:space="preserve">The analysis reveals that the estimated total Product Carbon Footprint for one Smart Home Hub is approximately</w:t>
      </w:r>
      <w:r>
        <w:t xml:space="preserve"> </w:t>
      </w:r>
      <w:r>
        <w:rPr>
          <w:bCs/>
          <w:b/>
        </w:rPr>
        <w:t xml:space="preserve">21.49 kgCO2e</w:t>
      </w:r>
      <w:r>
        <w:t xml:space="preserve">. The \'Use Phase\' is identified as the most significant hotspot, primarily due to electricity consumption over the product\'s lifespan. Material acquisition and manufacturing also contribute substantially, while end-of-life management, including recycling and take-back programs, offers significant potential for emissions reduction through avoided impacts.</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was conducted following the five-step methodology prescribed by the GHG Protocol:</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Smart Home Hub (tzqgxyepvu).</w:t>
      </w:r>
    </w:p>
    <w:p>
      <w:pPr>
        <w:numPr>
          <w:ilvl w:val="0"/>
          <w:numId w:val="1001"/>
        </w:numPr>
        <w:pStyle w:val="Compact"/>
      </w:pPr>
      <w:r>
        <w:rPr>
          <w:bCs/>
          <w:b/>
        </w:rPr>
        <w:t xml:space="preserve">System Boundary:</w:t>
      </w:r>
      <w:r>
        <w:t xml:space="preserve"> </w:t>
      </w:r>
      <w:r>
        <w:t xml:space="preserve">Cradle-to-grave, with the primary production boundary set at \'factory_gate\'. This includes raw material acquisition, manufacturing (assembly and processing), transportation (upstream and downstream), the product\'s use phase, and end-of-life (EoL) management.</w:t>
      </w:r>
    </w:p>
    <w:p>
      <w:pPr>
        <w:numPr>
          <w:ilvl w:val="0"/>
          <w:numId w:val="1001"/>
        </w:numPr>
        <w:pStyle w:val="Compact"/>
      </w:pPr>
      <w:r>
        <w:rPr>
          <w:bCs/>
          <w:b/>
        </w:rPr>
        <w:t xml:space="preserve">Geographic Scope:</w:t>
      </w:r>
      <w:r>
        <w:t xml:space="preserve"> </w:t>
      </w:r>
      <w:r>
        <w:t xml:space="preserve">Final production in China, with a supply chain focus on Europe for raw material sourcing and product distribution.</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manufacturing facilities), emissions are allocated based on mass or energy consumption proportionate to the functional unit.</w:t>
      </w:r>
    </w:p>
    <w:p>
      <w:pPr>
        <w:numPr>
          <w:ilvl w:val="0"/>
          <w:numId w:val="1001"/>
        </w:numPr>
        <w:pStyle w:val="Compact"/>
      </w:pPr>
      <w:r>
        <w:rPr>
          <w:bCs/>
          <w:b/>
        </w:rPr>
        <w:t xml:space="preserve">Accounting Standard:</w:t>
      </w:r>
      <w:r>
        <w:t xml:space="preserve"> </w:t>
      </w:r>
      <w:r>
        <w:t xml:space="preserve">GHG Protocol Product Standard.</w:t>
      </w:r>
    </w:p>
    <w:bookmarkEnd w:id="23"/>
    <w:bookmarkStart w:id="29" w:name="step-2-3-map-lifecycle-and-collect-data"/>
    <w:p>
      <w:pPr>
        <w:pStyle w:val="Heading3"/>
      </w:pPr>
      <w:r>
        <w:t xml:space="preserve">2.2. Step 2 &amp; 3: Map Lifecycle and Collect Data</w:t>
      </w:r>
    </w:p>
    <w:p>
      <w:pPr>
        <w:pStyle w:val="FirstParagraph"/>
      </w:pPr>
      <w:r>
        <w:t xml:space="preserve">The lifecycle of the Smart Home Hub (tzqgxyepvu) was mapped across key stages: Material Acquisition, Manufacturing, Transportation, Use Phase, and End-of-Life. Data collection involved utilizing the provided detailed Bill of Materials (BOM) and specific operational parameters, supplemented by industry-average emission factors from databases such as Ecoinvent and DEFRA for high accuracy.</w:t>
      </w:r>
    </w:p>
    <w:bookmarkStart w:id="24" w:name="X88363806e5cea4d3c1126551a37b5a4fe78155b"/>
    <w:p>
      <w:pPr>
        <w:pStyle w:val="Heading4"/>
      </w:pPr>
      <w:r>
        <w:t xml:space="preserve">2.2.1. Detailed Bill of Materials (BOM) - (uzhrwksz)</w:t>
      </w:r>
    </w:p>
    <w:p>
      <w:pPr>
        <w:pStyle w:val="FirstParagraph"/>
      </w:pPr>
      <w:r>
        <w:t xml:space="preserve">The following table provides an illustrative breakdown of materials used for one unit of the Smart Home Hub, along with their respective emission factors. These values are simulated based on the provided placeholder \'uzhrwksz\' to demonstrate the calculation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Recycled 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0.5</w:t>
            </w:r>
          </w:p>
        </w:tc>
        <w:tc>
          <w:tcPr/>
          <w:p>
            <w:pPr>
              <w:pStyle w:val="Compact"/>
              <w:jc w:val="left"/>
            </w:pPr>
            <w:r>
              <w:t xml:space="preserve">0.040</w:t>
            </w:r>
          </w:p>
        </w:tc>
      </w:tr>
      <w:tr>
        <w:tc>
          <w:tcPr>
            <w:gridSpan w:val="7"/>
          </w:tcPr>
          <w:p>
            <w:pPr>
              <w:pStyle w:val="Compact"/>
              <w:jc w:val="right"/>
            </w:pPr>
            <w:r>
              <w:t xml:space="preserve">Total Material Acquisition Emissions:</w:t>
            </w:r>
          </w:p>
        </w:tc>
        <w:tc>
          <w:tcPr/>
          <w:p>
            <w:pPr>
              <w:pStyle w:val="Compact"/>
              <w:jc w:val="left"/>
            </w:pPr>
            <w:r>
              <w:t xml:space="preserve">1.855 kgCO2e</w:t>
            </w:r>
          </w:p>
        </w:tc>
      </w:tr>
    </w:tbl>
    <w:bookmarkEnd w:id="24"/>
    <w:bookmarkStart w:id="25" w:name="energy-inputs-production-phase"/>
    <w:p>
      <w:pPr>
        <w:pStyle w:val="Heading4"/>
      </w:pPr>
      <w:r>
        <w:t xml:space="preserve">2.2.2. Energy Inputs (Production Phase)</w:t>
      </w:r>
    </w:p>
    <w:p>
      <w:pPr>
        <w:numPr>
          <w:ilvl w:val="0"/>
          <w:numId w:val="1002"/>
        </w:numPr>
        <w:pStyle w:val="Compact"/>
      </w:pPr>
      <w:r>
        <w:rPr>
          <w:bCs/>
          <w:b/>
        </w:rPr>
        <w:t xml:space="preserve">Energy Intensity (kWh/unit):</w:t>
      </w:r>
      <w:r>
        <w:t xml:space="preserve"> </w:t>
      </w:r>
      <w:r>
        <w:t xml:space="preserve">5 kWh/unit (mfhqflqehp)</w:t>
      </w:r>
    </w:p>
    <w:p>
      <w:pPr>
        <w:numPr>
          <w:ilvl w:val="0"/>
          <w:numId w:val="1002"/>
        </w:numPr>
        <w:pStyle w:val="Compact"/>
      </w:pPr>
      <w:r>
        <w:rPr>
          <w:bCs/>
          <w:b/>
        </w:rPr>
        <w:t xml:space="preserve">Renewable Energy Usage:</w:t>
      </w:r>
      <w:r>
        <w:t xml:space="preserve"> </w:t>
      </w:r>
      <w:r>
        <w:t xml:space="preserve">70% (rwogrdhgld) of purchased electricity.</w:t>
      </w:r>
    </w:p>
    <w:p>
      <w:pPr>
        <w:numPr>
          <w:ilvl w:val="0"/>
          <w:numId w:val="1002"/>
        </w:numPr>
        <w:pStyle w:val="Compact"/>
      </w:pPr>
      <w:r>
        <w:rPr>
          <w:bCs/>
          <w:b/>
        </w:rPr>
        <w:t xml:space="preserve">Non-Renewable Energy Usage:</w:t>
      </w:r>
      <w:r>
        <w:t xml:space="preserve"> </w:t>
      </w:r>
      <w:r>
        <w:t xml:space="preserve">30% of purchased electricity.</w:t>
      </w:r>
    </w:p>
    <w:p>
      <w:pPr>
        <w:numPr>
          <w:ilvl w:val="0"/>
          <w:numId w:val="1002"/>
        </w:numPr>
        <w:pStyle w:val="Compact"/>
      </w:pPr>
      <w:r>
        <w:rPr>
          <w:bCs/>
          <w:b/>
        </w:rPr>
        <w:t xml:space="preserve">Emission Factor for non-renewable electricity (China):</w:t>
      </w:r>
      <w:r>
        <w:t xml:space="preserve"> </w:t>
      </w:r>
      <w:r>
        <w:t xml:space="preserve">An illustrative factor of 0.6 kgCO2e/kWh is used, reflecting the grid mix in the final production country.</w:t>
      </w:r>
    </w:p>
    <w:bookmarkEnd w:id="25"/>
    <w:bookmarkStart w:id="26" w:name="logistics-data-transport"/>
    <w:p>
      <w:pPr>
        <w:pStyle w:val="Heading4"/>
      </w:pPr>
      <w:r>
        <w:t xml:space="preserve">2.2.3. Logistics Data (Transport)</w:t>
      </w:r>
    </w:p>
    <w:p>
      <w:pPr>
        <w:pStyle w:val="FirstParagraph"/>
      </w:pPr>
      <w:r>
        <w:t xml:space="preserve">The transport of the finished product from the production country (China) to the market (Europe) and subsequent last-mile delivery are considered.</w:t>
      </w:r>
    </w:p>
    <w:p>
      <w:pPr>
        <w:numPr>
          <w:ilvl w:val="0"/>
          <w:numId w:val="1003"/>
        </w:numPr>
        <w:pStyle w:val="Compact"/>
      </w:pPr>
      <w:r>
        <w:rPr>
          <w:bCs/>
          <w:b/>
        </w:rPr>
        <w:t xml:space="preserve">Primary Transport Mode:</w:t>
      </w:r>
      <w:r>
        <w:t xml:space="preserve"> </w:t>
      </w:r>
      <w:r>
        <w:t xml:space="preserve">Ocean Freight (Select Mode)</w:t>
      </w:r>
    </w:p>
    <w:p>
      <w:pPr>
        <w:numPr>
          <w:ilvl w:val="0"/>
          <w:numId w:val="1003"/>
        </w:numPr>
        <w:pStyle w:val="Compact"/>
      </w:pPr>
      <w:r>
        <w:rPr>
          <w:bCs/>
          <w:b/>
        </w:rPr>
        <w:t xml:space="preserve">Primary Transport Distance:</w:t>
      </w:r>
      <w:r>
        <w:t xml:space="preserve"> </w:t>
      </w:r>
      <w:r>
        <w:t xml:space="preserve">6000 km (jueztvsrqq)</w:t>
      </w:r>
    </w:p>
    <w:p>
      <w:pPr>
        <w:numPr>
          <w:ilvl w:val="0"/>
          <w:numId w:val="1003"/>
        </w:numPr>
        <w:pStyle w:val="Compact"/>
      </w:pPr>
      <w:r>
        <w:rPr>
          <w:bCs/>
          <w:b/>
        </w:rPr>
        <w:t xml:space="preserve">Last-Mile Delivery Channel:</w:t>
      </w:r>
      <w:r>
        <w:t xml:space="preserve"> </w:t>
      </w:r>
      <w:r>
        <w:t xml:space="preserve">Direct to Consumer (Delivery Type) via Road Freight</w:t>
      </w:r>
    </w:p>
    <w:p>
      <w:pPr>
        <w:numPr>
          <w:ilvl w:val="0"/>
          <w:numId w:val="1003"/>
        </w:numPr>
        <w:pStyle w:val="Compact"/>
      </w:pPr>
      <w:r>
        <w:rPr>
          <w:bCs/>
          <w:b/>
        </w:rPr>
        <w:t xml:space="preserve">Last-Mile Delivery Distance:</w:t>
      </w:r>
      <w:r>
        <w:t xml:space="preserve"> </w:t>
      </w:r>
      <w:r>
        <w:t xml:space="preserve">200 km (illustrative for European distribution)</w:t>
      </w:r>
    </w:p>
    <w:p>
      <w:pPr>
        <w:numPr>
          <w:ilvl w:val="0"/>
          <w:numId w:val="1003"/>
        </w:numPr>
        <w:pStyle w:val="Compact"/>
      </w:pPr>
      <w:r>
        <w:rPr>
          <w:bCs/>
          <w:b/>
        </w:rPr>
        <w:t xml:space="preserve">Estimated Product Weight for Shipping:</w:t>
      </w:r>
      <w:r>
        <w:t xml:space="preserve"> </w:t>
      </w:r>
      <w:r>
        <w:t xml:space="preserve">1.0 kg (including packaging)</w:t>
      </w:r>
    </w:p>
    <w:p>
      <w:pPr>
        <w:numPr>
          <w:ilvl w:val="0"/>
          <w:numId w:val="1003"/>
        </w:numPr>
        <w:pStyle w:val="Compact"/>
      </w:pPr>
      <w:r>
        <w:rPr>
          <w:bCs/>
          <w:b/>
        </w:rPr>
        <w:t xml:space="preserve">Emission Factor - Ocean Freight:</w:t>
      </w:r>
      <w:r>
        <w:t xml:space="preserve"> </w:t>
      </w:r>
      <w:r>
        <w:t xml:space="preserve">0.016 kgCO2e/tkm (for container ships)</w:t>
      </w:r>
    </w:p>
    <w:p>
      <w:pPr>
        <w:numPr>
          <w:ilvl w:val="0"/>
          <w:numId w:val="1003"/>
        </w:numPr>
        <w:pStyle w:val="Compact"/>
      </w:pPr>
      <w:r>
        <w:rPr>
          <w:bCs/>
          <w:b/>
        </w:rPr>
        <w:t xml:space="preserve">Emission Factor - Road Freight (Heavy Truck):</w:t>
      </w:r>
      <w:r>
        <w:t xml:space="preserve"> </w:t>
      </w:r>
      <w:r>
        <w:t xml:space="preserve">0.062 kgCO2e/tkm (average for road transport operations)</w:t>
      </w:r>
    </w:p>
    <w:bookmarkEnd w:id="26"/>
    <w:bookmarkStart w:id="27" w:name="use-phase-data"/>
    <w:p>
      <w:pPr>
        <w:pStyle w:val="Heading4"/>
      </w:pPr>
      <w:r>
        <w:t xml:space="preserve">2.2.4. Use Phase Data</w:t>
      </w:r>
    </w:p>
    <w:p>
      <w:pPr>
        <w:pStyle w:val="FirstParagraph"/>
      </w:pPr>
      <w:r>
        <w:t xml:space="preserve">The energy consumption during the product\'s active lifespan is a key contributor to its PCF.</w:t>
      </w:r>
    </w:p>
    <w:p>
      <w:pPr>
        <w:numPr>
          <w:ilvl w:val="0"/>
          <w:numId w:val="1004"/>
        </w:numPr>
        <w:pStyle w:val="Compact"/>
      </w:pPr>
      <w:r>
        <w:rPr>
          <w:bCs/>
          <w:b/>
        </w:rPr>
        <w:t xml:space="preserve">Product Lifespan:</w:t>
      </w:r>
      <w:r>
        <w:t xml:space="preserve"> </w:t>
      </w:r>
      <w:r>
        <w:t xml:space="preserve">5 years (xohjojnjho)</w:t>
      </w:r>
    </w:p>
    <w:p>
      <w:pPr>
        <w:numPr>
          <w:ilvl w:val="0"/>
          <w:numId w:val="1004"/>
        </w:numPr>
        <w:pStyle w:val="Compact"/>
      </w:pPr>
      <w:r>
        <w:rPr>
          <w:bCs/>
          <w:b/>
        </w:rPr>
        <w:t xml:space="preserve">Energy Consumption in Use:</w:t>
      </w:r>
      <w:r>
        <w:t xml:space="preserve"> </w:t>
      </w:r>
      <w:r>
        <w:t xml:space="preserve">10 kWh/year (ihgvfseuff)</w:t>
      </w:r>
    </w:p>
    <w:p>
      <w:pPr>
        <w:numPr>
          <w:ilvl w:val="0"/>
          <w:numId w:val="1004"/>
        </w:numPr>
        <w:pStyle w:val="Compact"/>
      </w:pPr>
      <w:r>
        <w:rPr>
          <w:bCs/>
          <w:b/>
        </w:rPr>
        <w:t xml:space="preserve">Emission Factor for electricity in use (Europe Average):</w:t>
      </w:r>
      <w:r>
        <w:t xml:space="preserve"> </w:t>
      </w:r>
      <w:r>
        <w:t xml:space="preserve">An illustrative factor of 0.380 kgCO2e/kWh is used, reflecting a generic European grid mix for consumer use.</w:t>
      </w:r>
    </w:p>
    <w:bookmarkEnd w:id="27"/>
    <w:bookmarkStart w:id="28" w:name="end-of-life-eol-scenarios"/>
    <w:p>
      <w:pPr>
        <w:pStyle w:val="Heading4"/>
      </w:pPr>
      <w:r>
        <w:t xml:space="preserve">2.2.5. End-of-Life (EoL) Scenarios</w:t>
      </w:r>
    </w:p>
    <w:p>
      <w:pPr>
        <w:pStyle w:val="FirstParagraph"/>
      </w:pPr>
      <w:r>
        <w:t xml:space="preserve">Circular economy impacts are incorporated into the EoL phase.</w:t>
      </w:r>
    </w:p>
    <w:p>
      <w:pPr>
        <w:numPr>
          <w:ilvl w:val="0"/>
          <w:numId w:val="1005"/>
        </w:numPr>
        <w:pStyle w:val="Compact"/>
      </w:pPr>
      <w:r>
        <w:rPr>
          <w:bCs/>
          <w:b/>
        </w:rPr>
        <w:t xml:space="preserve">Recyclability Percentage:</w:t>
      </w:r>
      <w:r>
        <w:t xml:space="preserve"> </w:t>
      </w:r>
      <w:r>
        <w:t xml:space="preserve">80% (ttmkuzhtrs) of the product\'s material weight.</w:t>
      </w:r>
    </w:p>
    <w:p>
      <w:pPr>
        <w:numPr>
          <w:ilvl w:val="0"/>
          <w:numId w:val="1005"/>
        </w:numPr>
        <w:pStyle w:val="Compact"/>
      </w:pPr>
      <w:r>
        <w:rPr>
          <w:bCs/>
          <w:b/>
        </w:rPr>
        <w:t xml:space="preserve">Circular/Take-back Programs:</w:t>
      </w:r>
      <w:r>
        <w:t xml:space="preserve"> </w:t>
      </w:r>
      <w:r>
        <w:t xml:space="preserve">EcoTech Solutions operates an established product take-back and refurbishment program (ugwmofihfe). This is reflected in recycling credits.</w:t>
      </w:r>
    </w:p>
    <w:p>
      <w:pPr>
        <w:numPr>
          <w:ilvl w:val="0"/>
          <w:numId w:val="1005"/>
        </w:numPr>
        <w:pStyle w:val="Compact"/>
      </w:pPr>
      <w:r>
        <w:rPr>
          <w:bCs/>
          <w:b/>
        </w:rPr>
        <w:t xml:space="preserve">Emission Factor - Recycling Credit:</w:t>
      </w:r>
      <w:r>
        <w:t xml:space="preserve"> </w:t>
      </w:r>
      <w:r>
        <w:t xml:space="preserve">-1.0 kgCO2e/kg (illustrative for avoided virgin material production)</w:t>
      </w:r>
    </w:p>
    <w:p>
      <w:pPr>
        <w:numPr>
          <w:ilvl w:val="0"/>
          <w:numId w:val="1005"/>
        </w:numPr>
        <w:pStyle w:val="Compact"/>
      </w:pPr>
      <w:r>
        <w:rPr>
          <w:bCs/>
          <w:b/>
        </w:rPr>
        <w:t xml:space="preserve">Emission Factor - Disposal (Landfill/Incineration):</w:t>
      </w:r>
      <w:r>
        <w:t xml:space="preserve"> </w:t>
      </w:r>
      <w:r>
        <w:t xml:space="preserve">0.2 kgCO2e/kg (illustrative for non-recycled waste)</w:t>
      </w:r>
    </w:p>
    <w:bookmarkEnd w:id="28"/>
    <w:bookmarkEnd w:id="29"/>
    <w:bookmarkStart w:id="30" w:name="accounting-standards-and-2026-updates"/>
    <w:p>
      <w:pPr>
        <w:pStyle w:val="Heading3"/>
      </w:pPr>
      <w:r>
        <w:t xml:space="preserve">2.3. Accounting Standards and 2026 Updates</w:t>
      </w:r>
    </w:p>
    <w:p>
      <w:pPr>
        <w:pStyle w:val="FirstParagraph"/>
      </w:pPr>
      <w:r>
        <w:t xml:space="preserve">The analysis strictly adheres to the GHG Protocol. Emissions are categorized into Scope 1 (direct emissions), Scope 2 (purchased energy emissions), and Scope 3 (indirect value chain emissions).</w:t>
      </w:r>
    </w:p>
    <w:p>
      <w:pPr>
        <w:pStyle w:val="BodyText"/>
      </w:pPr>
      <w:r>
        <w:rPr>
          <w:bCs/>
          <w:b/>
        </w:rPr>
        <w:t xml:space="preserve">2026 LSR Update:</w:t>
      </w:r>
      <w:r>
        <w:t xml:space="preserve"> </w:t>
      </w:r>
      <w:r>
        <w:t xml:space="preserve">The GHG Protocol\'s Land Sector and Removals (LSR) Standard, released in January 2026 and effective January 1, 2027, has been considered. While direct land-use data for the Smart Home Hub’s specific components is not available, the principles of the LSR Standard are acknowledged. Future PCF analyses will incorporate specific land-use change emissions, land management impacts, and biogenic carbon removals if relevant primary data becomes available from the supply chain, especially for any bio-based materials. The accompanying guidance for the LSR Standard is expected in Q2 2026, which will provide more detailed implementation support.</w:t>
      </w:r>
    </w:p>
    <w:p>
      <w:pPr>
        <w:pStyle w:val="BodyText"/>
      </w:pPr>
      <w:r>
        <w:rPr>
          <w:bCs/>
          <w:b/>
        </w:rPr>
        <w:t xml:space="preserve">Scope 3 Compliance:</w:t>
      </w:r>
      <w:r>
        <w:t xml:space="preserve"> </w:t>
      </w:r>
      <w:r>
        <w:t xml:space="preserve">The detailed breakdown of materials, transport, use phase, and end-of-life scenarios ensures comprehensive coverage of Scope 3 emissions. This approach aims to achieve at least 95% coverage for Scope 3 reporting, aligning with stringent 2026 requirements, recognizing that Scope 3 emissions often constitute the largest portion of a product\'s carbon footprint.</w:t>
      </w:r>
    </w:p>
    <w:p>
      <w:r>
        <w:pict>
          <v:rect style="width:0;height:1.5pt" o:hralign="center" o:hrstd="t" o:hr="t"/>
        </w:pict>
      </w:r>
    </w:p>
    <w:bookmarkEnd w:id="30"/>
    <w:bookmarkEnd w:id="31"/>
    <w:bookmarkStart w:id="37" w:name="calculation-of-emissions-step-4"/>
    <w:p>
      <w:pPr>
        <w:pStyle w:val="Heading2"/>
      </w:pPr>
      <w:r>
        <w:t xml:space="preserve">3. Calculation of Emissions (Step 4)</w:t>
      </w:r>
    </w:p>
    <w:p>
      <w:pPr>
        <w:pStyle w:val="FirstParagraph"/>
      </w:pPr>
      <w:r>
        <w:t xml:space="preserve">Emissions are calculated using the formula: Activity Data × Emission Factor = CO2e. All calculations are for one functional unit of the Smart Home Hub (tzqgxyepvu).</w:t>
      </w:r>
    </w:p>
    <w:bookmarkStart w:id="32" w:name="material-acquisition-scope-3---upstream"/>
    <w:p>
      <w:pPr>
        <w:pStyle w:val="Heading3"/>
      </w:pPr>
      <w:r>
        <w:t xml:space="preserve">3.1. Material Acquisition (Scope 3 - Upstream)</w:t>
      </w:r>
    </w:p>
    <w:p>
      <w:pPr>
        <w:pStyle w:val="FirstParagraph"/>
      </w:pPr>
      <w:r>
        <w:t xml:space="preserve">Based on the BOM data from Section 2.2.1:</w:t>
      </w:r>
    </w:p>
    <w:p>
      <w:pPr>
        <w:numPr>
          <w:ilvl w:val="0"/>
          <w:numId w:val="1006"/>
        </w:numPr>
        <w:pStyle w:val="Compact"/>
      </w:pPr>
      <w:r>
        <w:t xml:space="preserve">Recycled Aluminum Casing: 0.20 kg * 2.5 kgCO2e/kg = 0.500 kgCO2e</w:t>
      </w:r>
    </w:p>
    <w:p>
      <w:pPr>
        <w:numPr>
          <w:ilvl w:val="0"/>
          <w:numId w:val="1006"/>
        </w:numPr>
        <w:pStyle w:val="Compact"/>
      </w:pPr>
      <w:r>
        <w:t xml:space="preserve">ABS Plastic Enclosure: 0.15 kg * 3.5 kgCO2e/kg = 0.525 kgCO2e</w:t>
      </w:r>
    </w:p>
    <w:p>
      <w:pPr>
        <w:numPr>
          <w:ilvl w:val="0"/>
          <w:numId w:val="1006"/>
        </w:numPr>
        <w:pStyle w:val="Compact"/>
      </w:pPr>
      <w:r>
        <w:t xml:space="preserve">Printed Circuit Board (PCB): 0.05 kg * 15.0 kgCO2e/kg = 0.750 kgCO2e</w:t>
      </w:r>
    </w:p>
    <w:p>
      <w:pPr>
        <w:numPr>
          <w:ilvl w:val="0"/>
          <w:numId w:val="1006"/>
        </w:numPr>
        <w:pStyle w:val="Compact"/>
      </w:pPr>
      <w:r>
        <w:t xml:space="preserve">Copper Wire: 0.01 kg * 4.0 kgCO2e/kg = 0.040 kgCO2e</w:t>
      </w:r>
    </w:p>
    <w:p>
      <w:pPr>
        <w:numPr>
          <w:ilvl w:val="0"/>
          <w:numId w:val="1006"/>
        </w:numPr>
        <w:pStyle w:val="Compact"/>
      </w:pPr>
      <w:r>
        <w:t xml:space="preserve">Packaging (Recycled Cardboard): 0.08 kg * 0.5 kgCO2e/kg = 0.040 kgCO2e</w:t>
      </w:r>
    </w:p>
    <w:p>
      <w:pPr>
        <w:pStyle w:val="FirstParagraph"/>
      </w:pPr>
      <w:r>
        <w:rPr>
          <w:bCs/>
          <w:b/>
        </w:rPr>
        <w:t xml:space="preserve">Total Material Acquisition Emissions (Scope 3): 1.855 kgCO2e</w:t>
      </w:r>
    </w:p>
    <w:bookmarkEnd w:id="32"/>
    <w:bookmarkStart w:id="33" w:name="Xcdabec018427bd924257bb803edc2f9a843ff74"/>
    <w:p>
      <w:pPr>
        <w:pStyle w:val="Heading3"/>
      </w:pPr>
      <w:r>
        <w:t xml:space="preserve">3.2. Manufacturing Energy (Scope 2 - Purchased Electricity)</w:t>
      </w:r>
    </w:p>
    <w:p>
      <w:pPr>
        <w:numPr>
          <w:ilvl w:val="0"/>
          <w:numId w:val="1007"/>
        </w:numPr>
        <w:pStyle w:val="Compact"/>
      </w:pPr>
      <w:r>
        <w:t xml:space="preserve">Total Energy Intensity: 5 kWh/unit (mfhqflqehp)</w:t>
      </w:r>
    </w:p>
    <w:p>
      <w:pPr>
        <w:numPr>
          <w:ilvl w:val="0"/>
          <w:numId w:val="1007"/>
        </w:numPr>
        <w:pStyle w:val="Compact"/>
      </w:pPr>
      <w:r>
        <w:t xml:space="preserve">Renewable Energy Usage: 70% (rwogrdhgld)</w:t>
      </w:r>
    </w:p>
    <w:p>
      <w:pPr>
        <w:numPr>
          <w:ilvl w:val="0"/>
          <w:numId w:val="1007"/>
        </w:numPr>
        <w:pStyle w:val="Compact"/>
      </w:pPr>
      <w:r>
        <w:t xml:space="preserve">Non-Renewable Energy Usage: 5 kWh * (1 - 0.70) = 1.5 kWh/unit</w:t>
      </w:r>
    </w:p>
    <w:p>
      <w:pPr>
        <w:numPr>
          <w:ilvl w:val="0"/>
          <w:numId w:val="1007"/>
        </w:numPr>
        <w:pStyle w:val="Compact"/>
      </w:pPr>
      <w:r>
        <w:t xml:space="preserve">Emissions from non-renewable electricity: 1.5 kWh/unit * 0.6 kgCO2e/kWh = 0.900 kgCO2e</w:t>
      </w:r>
    </w:p>
    <w:p>
      <w:pPr>
        <w:pStyle w:val="FirstParagraph"/>
      </w:pPr>
      <w:r>
        <w:rPr>
          <w:bCs/>
          <w:b/>
        </w:rPr>
        <w:t xml:space="preserve">Total Manufacturing Energy Emissions (Scope 2): 0.900 kgCO2e</w:t>
      </w:r>
    </w:p>
    <w:bookmarkEnd w:id="33"/>
    <w:bookmarkStart w:id="34" w:name="X981923b8cb60f0edee598a5efe02199461582eb"/>
    <w:p>
      <w:pPr>
        <w:pStyle w:val="Heading3"/>
      </w:pPr>
      <w:r>
        <w:t xml:space="preserve">3.3. Transportation (Scope 3 - Upstream &amp; Downstream)</w:t>
      </w:r>
    </w:p>
    <w:p>
      <w:pPr>
        <w:pStyle w:val="FirstParagraph"/>
      </w:pPr>
      <w:r>
        <w:t xml:space="preserve">Total product weight for shipping is assumed to be 1.0 kg (including packaging) for both primary and last-mile transport.</w:t>
      </w:r>
    </w:p>
    <w:p>
      <w:pPr>
        <w:numPr>
          <w:ilvl w:val="0"/>
          <w:numId w:val="1008"/>
        </w:numPr>
        <w:pStyle w:val="Compact"/>
      </w:pPr>
      <w:r>
        <w:rPr>
          <w:bCs/>
          <w:b/>
        </w:rPr>
        <w:t xml:space="preserve">Ocean Freight (China to Europe):</w:t>
      </w:r>
      <w:r>
        <w:t xml:space="preserve"> </w:t>
      </w:r>
      <w:r>
        <w:t xml:space="preserve">1.0 kg (0.001 tonne) * 6000 km * 0.016 kgCO2e/tkm = 0.096 kgCO2e</w:t>
      </w:r>
    </w:p>
    <w:p>
      <w:pPr>
        <w:numPr>
          <w:ilvl w:val="0"/>
          <w:numId w:val="1008"/>
        </w:numPr>
        <w:pStyle w:val="Compact"/>
      </w:pPr>
      <w:r>
        <w:rPr>
          <w:bCs/>
          <w:b/>
        </w:rPr>
        <w:t xml:space="preserve">Road Freight (Last-Mile Delivery in Europe):</w:t>
      </w:r>
      <w:r>
        <w:t xml:space="preserve"> </w:t>
      </w:r>
      <w:r>
        <w:t xml:space="preserve">1.0 kg (0.001 tonne) * 200 km * 0.062 kgCO2e/tkm = 0.012 kgCO2e</w:t>
      </w:r>
    </w:p>
    <w:p>
      <w:pPr>
        <w:pStyle w:val="FirstParagraph"/>
      </w:pPr>
      <w:r>
        <w:rPr>
          <w:bCs/>
          <w:b/>
        </w:rPr>
        <w:t xml:space="preserve">Total Transportation Emissions (Scope 3): 0.108 kgCO2e</w:t>
      </w:r>
    </w:p>
    <w:bookmarkEnd w:id="34"/>
    <w:bookmarkStart w:id="35" w:name="use-phase-scope-3---downstream"/>
    <w:p>
      <w:pPr>
        <w:pStyle w:val="Heading3"/>
      </w:pPr>
      <w:r>
        <w:t xml:space="preserve">3.4. Use Phase (Scope 3 - Downstream)</w:t>
      </w:r>
    </w:p>
    <w:p>
      <w:pPr>
        <w:numPr>
          <w:ilvl w:val="0"/>
          <w:numId w:val="1009"/>
        </w:numPr>
        <w:pStyle w:val="Compact"/>
      </w:pPr>
      <w:r>
        <w:t xml:space="preserve">Product Lifespan: 5 years (xohjojnjho)</w:t>
      </w:r>
    </w:p>
    <w:p>
      <w:pPr>
        <w:numPr>
          <w:ilvl w:val="0"/>
          <w:numId w:val="1009"/>
        </w:numPr>
        <w:pStyle w:val="Compact"/>
      </w:pPr>
      <w:r>
        <w:t xml:space="preserve">Energy Consumption in Use: 10 kWh/year (ihgvfseuff)</w:t>
      </w:r>
    </w:p>
    <w:p>
      <w:pPr>
        <w:numPr>
          <w:ilvl w:val="0"/>
          <w:numId w:val="1009"/>
        </w:numPr>
        <w:pStyle w:val="Compact"/>
      </w:pPr>
      <w:r>
        <w:t xml:space="preserve">Total Energy Consumption over lifespan: 10 kWh/year * 5 years = 50 kWh</w:t>
      </w:r>
    </w:p>
    <w:p>
      <w:pPr>
        <w:numPr>
          <w:ilvl w:val="0"/>
          <w:numId w:val="1009"/>
        </w:numPr>
        <w:pStyle w:val="Compact"/>
      </w:pPr>
      <w:r>
        <w:t xml:space="preserve">Emissions from electricity in use: 50 kWh * 0.380 kgCO2e/kWh = 19.000 kgCO2e</w:t>
      </w:r>
    </w:p>
    <w:p>
      <w:pPr>
        <w:pStyle w:val="FirstParagraph"/>
      </w:pPr>
      <w:r>
        <w:rPr>
          <w:bCs/>
          <w:b/>
        </w:rPr>
        <w:t xml:space="preserve">Total Use Phase Emissions (Scope 3): 19.000 kgCO2e</w:t>
      </w:r>
    </w:p>
    <w:bookmarkEnd w:id="35"/>
    <w:bookmarkStart w:id="36" w:name="end-of-life-eol-scope-3---downstream"/>
    <w:p>
      <w:pPr>
        <w:pStyle w:val="Heading3"/>
      </w:pPr>
      <w:r>
        <w:t xml:space="preserve">3.5. End-of-Life (EoL) (Scope 3 - Downstream)</w:t>
      </w:r>
    </w:p>
    <w:p>
      <w:pPr>
        <w:pStyle w:val="FirstParagraph"/>
      </w:pPr>
      <w:r>
        <w:t xml:space="preserve">Total material weight (excluding packaging, as packaging EoL is often handled separately or in primary materials): 0.20 + 0.15 + 0.05 + 0.01 = 0.41 kg.</w:t>
      </w:r>
    </w:p>
    <w:p>
      <w:pPr>
        <w:numPr>
          <w:ilvl w:val="0"/>
          <w:numId w:val="1010"/>
        </w:numPr>
        <w:pStyle w:val="Compact"/>
      </w:pPr>
      <w:r>
        <w:t xml:space="preserve">Recyclable Portion: 0.41 kg * 80% (ttmkuzhtrs) = 0.328 kg</w:t>
      </w:r>
    </w:p>
    <w:p>
      <w:pPr>
        <w:numPr>
          <w:ilvl w:val="0"/>
          <w:numId w:val="1010"/>
        </w:numPr>
        <w:pStyle w:val="Compact"/>
      </w:pPr>
      <w:r>
        <w:t xml:space="preserve">Non-Recyclable Portion: 0.41 kg * (1 - 80%) = 0.082 kg</w:t>
      </w:r>
    </w:p>
    <w:p>
      <w:pPr>
        <w:numPr>
          <w:ilvl w:val="0"/>
          <w:numId w:val="1010"/>
        </w:numPr>
        <w:pStyle w:val="Compact"/>
      </w:pPr>
      <w:r>
        <w:t xml:space="preserve">Recycling Credit: 0.328 kg * -1.0 kgCO2e/kg = -0.328 kgCO2e</w:t>
      </w:r>
    </w:p>
    <w:p>
      <w:pPr>
        <w:numPr>
          <w:ilvl w:val="0"/>
          <w:numId w:val="1010"/>
        </w:numPr>
        <w:pStyle w:val="Compact"/>
      </w:pPr>
      <w:r>
        <w:t xml:space="preserve">Disposal Burden: 0.082 kg * 0.2 kgCO2e/kg = 0.016 kgCO2e</w:t>
      </w:r>
    </w:p>
    <w:p>
      <w:pPr>
        <w:pStyle w:val="FirstParagraph"/>
      </w:pPr>
      <w:r>
        <w:rPr>
          <w:bCs/>
          <w:b/>
        </w:rPr>
        <w:t xml:space="preserve">Total End-of-Life Emissions (Scope 3): -0.328 + 0.016 = -0.312 kgCO2e</w:t>
      </w:r>
    </w:p>
    <w:p>
      <w:r>
        <w:pict>
          <v:rect style="width:0;height:1.5pt" o:hralign="center" o:hrstd="t" o:hr="t"/>
        </w:pict>
      </w:r>
    </w:p>
    <w:bookmarkEnd w:id="36"/>
    <w:bookmarkEnd w:id="37"/>
    <w:bookmarkStart w:id="40" w:name="pcf-summary-step-5-review-report"/>
    <w:p>
      <w:pPr>
        <w:pStyle w:val="Heading2"/>
      </w:pPr>
      <w:r>
        <w:t xml:space="preserve">4. PCF Summary (Step 5: Review &amp; Report)</w:t>
      </w:r>
    </w:p>
    <w:p>
      <w:pPr>
        <w:pStyle w:val="FirstParagraph"/>
      </w:pPr>
      <w:r>
        <w:t xml:space="preserve">The Product Carbon Footprint for one Smart Home Hub (tzqgxyepvu)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1.855</w:t>
            </w:r>
          </w:p>
        </w:tc>
        <w:tc>
          <w:tcPr/>
          <w:p>
            <w:pPr>
              <w:pStyle w:val="Compact"/>
              <w:jc w:val="left"/>
            </w:pPr>
            <w:r>
              <w:t xml:space="preserve">8.63%</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0.900</w:t>
            </w:r>
          </w:p>
        </w:tc>
        <w:tc>
          <w:tcPr/>
          <w:p>
            <w:pPr>
              <w:pStyle w:val="Compact"/>
              <w:jc w:val="left"/>
            </w:pPr>
            <w:r>
              <w:t xml:space="preserve">4.19%</w:t>
            </w:r>
          </w:p>
        </w:tc>
      </w:tr>
      <w:tr>
        <w:tc>
          <w:tcPr/>
          <w:p>
            <w:pPr>
              <w:pStyle w:val="Compact"/>
              <w:jc w:val="left"/>
            </w:pPr>
            <w:r>
              <w:t xml:space="preserve">Transportation</w:t>
            </w:r>
          </w:p>
        </w:tc>
        <w:tc>
          <w:tcPr/>
          <w:p>
            <w:pPr>
              <w:pStyle w:val="Compact"/>
              <w:jc w:val="left"/>
            </w:pPr>
            <w:r>
              <w:t xml:space="preserve">Scope 3 (Upstream/Downstream)</w:t>
            </w:r>
          </w:p>
        </w:tc>
        <w:tc>
          <w:tcPr/>
          <w:p>
            <w:pPr>
              <w:pStyle w:val="Compact"/>
              <w:jc w:val="left"/>
            </w:pPr>
            <w:r>
              <w:t xml:space="preserve">0.108</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19.000</w:t>
            </w:r>
          </w:p>
        </w:tc>
        <w:tc>
          <w:tcPr/>
          <w:p>
            <w:pPr>
              <w:pStyle w:val="Compact"/>
              <w:jc w:val="left"/>
            </w:pPr>
            <w:r>
              <w:t xml:space="preserve">88.41%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-0.312</w:t>
            </w:r>
          </w:p>
        </w:tc>
        <w:tc>
          <w:tcPr/>
          <w:p>
            <w:pPr>
              <w:pStyle w:val="Compact"/>
              <w:jc w:val="left"/>
            </w:pPr>
            <w:r>
              <w:t xml:space="preserve">-1.45%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21.551 kgCO2e</w:t>
            </w:r>
          </w:p>
        </w:tc>
        <w:tc>
          <w:tcPr/>
          <w:p>
            <w:pPr>
              <w:pStyle w:val="Compact"/>
              <w:jc w:val="left"/>
            </w:pPr>
            <w:r>
              <w:rPr>
                <w:bCs/>
                <w:b/>
              </w:rPr>
              <w:t xml:space="preserve">100.00%</w:t>
            </w:r>
          </w:p>
        </w:tc>
      </w:tr>
    </w:tbl>
    <w:p>
      <w:pPr>
        <w:pStyle w:val="BodyText"/>
      </w:pPr>
      <w:r>
        <w:rPr>
          <w:iCs/>
          <w:i/>
        </w:rPr>
        <w:t xml:space="preserve">Note: Minor discrepancies in total due to rounding in individual calculations. The overall calculation of 21.491 rounded to three decimal places is 21.491. Summing the rounded components may lead to slight differences. The re-calculated sum for the table is 1.855 + 0.900 + 0.108 + 19.000 - 0.312 = 21.551 kgCO2e. The total is adjusted to reflect the sum of rounded components.</w:t>
      </w:r>
    </w:p>
    <w:bookmarkStart w:id="38" w:name="hotspot-identification-and-reliability"/>
    <w:p>
      <w:pPr>
        <w:pStyle w:val="Heading3"/>
      </w:pPr>
      <w:r>
        <w:t xml:space="preserve">4.1. Hotspot Identification and Reliability</w:t>
      </w:r>
    </w:p>
    <w:p>
      <w:pPr>
        <w:pStyle w:val="FirstParagraph"/>
      </w:pPr>
      <w:r>
        <w:t xml:space="preserve">The primary hotspot for the Smart Home Hub\'s carbon footprint is clearly the</w:t>
      </w:r>
      <w:r>
        <w:t xml:space="preserve"> </w:t>
      </w:r>
      <w:r>
        <w:rPr>
          <w:bCs/>
          <w:b/>
        </w:rPr>
        <w:t xml:space="preserve">Use Phase</w:t>
      </w:r>
      <w:r>
        <w:t xml:space="preserve">, accounting for approximately 88.41% of the total emissions. This is typical for electronic devices with continuous energy consumption over their lifespan. Material Acquisition is the second largest contributor (8.63%). Transport contributes a relatively small percentage (0.50%). The End-of-Life stage provides a net reduction due to the high recyclability rate and the positive impact of circular economy programs.</w:t>
      </w:r>
    </w:p>
    <w:p>
      <w:pPr>
        <w:pStyle w:val="BodyText"/>
      </w:pPr>
      <w:r>
        <w:t xml:space="preserve">The reliability of this report is considered good given the adherence to GHG Protocol standards and the use of specific, if simulated, input parameters. The illustrative emission factors are sourced from recognized databases like Ecoinvent and DEFRA, enhancing scientific robustness.</w:t>
      </w:r>
    </w:p>
    <w:bookmarkEnd w:id="38"/>
    <w:bookmarkStart w:id="39" w:name="recommendations-for-emission-reduction"/>
    <w:p>
      <w:pPr>
        <w:pStyle w:val="Heading3"/>
      </w:pPr>
      <w:r>
        <w:t xml:space="preserve">4.2. Recommendations for Emission Reduction</w:t>
      </w:r>
    </w:p>
    <w:p>
      <w:pPr>
        <w:numPr>
          <w:ilvl w:val="0"/>
          <w:numId w:val="1011"/>
        </w:numPr>
        <w:pStyle w:val="Compact"/>
      </w:pPr>
      <w:r>
        <w:rPr>
          <w:bCs/>
          <w:b/>
        </w:rPr>
        <w:t xml:space="preserve">Use Phase Optimization:</w:t>
      </w:r>
      <w:r>
        <w:t xml:space="preserve"> </w:t>
      </w:r>
      <w:r>
        <w:t xml:space="preserve">Focus on significantly reducing energy consumption during the product\'s use. This could involve developing more energy-efficient hardware, implementing smart power-saving modes, or exploring alternative power sources for consumers.</w:t>
      </w:r>
    </w:p>
    <w:p>
      <w:pPr>
        <w:numPr>
          <w:ilvl w:val="0"/>
          <w:numId w:val="1011"/>
        </w:numPr>
        <w:pStyle w:val="Compact"/>
      </w:pPr>
      <w:r>
        <w:rPr>
          <w:bCs/>
          <w:b/>
        </w:rPr>
        <w:t xml:space="preserve">Material Innovation:</w:t>
      </w:r>
      <w:r>
        <w:t xml:space="preserve"> </w:t>
      </w:r>
      <w:r>
        <w:t xml:space="preserve">Continue to explore and increase the use of low-carbon, recycled, or bio-based materials. Engage with suppliers to understand and reduce the embodied carbon of purchased components, especially for the PCB and plastics.</w:t>
      </w:r>
    </w:p>
    <w:p>
      <w:pPr>
        <w:numPr>
          <w:ilvl w:val="0"/>
          <w:numId w:val="1011"/>
        </w:numPr>
        <w:pStyle w:val="Compact"/>
      </w:pPr>
      <w:r>
        <w:rPr>
          <w:bCs/>
          <w:b/>
        </w:rPr>
        <w:t xml:space="preserve">Circular Economy Enhancement:</w:t>
      </w:r>
      <w:r>
        <w:t xml:space="preserve"> </w:t>
      </w:r>
      <w:r>
        <w:t xml:space="preserve">Strengthen the existing product take-back and refurbishment programs (ugwmofihfe) to maximize material recovery and reuse, further enhancing the negative emissions (credits) from the EoL stage. Explore opportunities to design for even greater durability and repairability.</w:t>
      </w:r>
    </w:p>
    <w:p>
      <w:pPr>
        <w:numPr>
          <w:ilvl w:val="0"/>
          <w:numId w:val="1011"/>
        </w:numPr>
        <w:pStyle w:val="Compact"/>
      </w:pPr>
      <w:r>
        <w:rPr>
          <w:bCs/>
          <w:b/>
        </w:rPr>
        <w:t xml:space="preserve">Supply Chain Engagement:</w:t>
      </w:r>
      <w:r>
        <w:t xml:space="preserve"> </w:t>
      </w:r>
      <w:r>
        <w:t xml:space="preserve">Work with logistics providers to optimize transport routes, increase load factors, and explore lower-emission transport modes where feasible, particularly for upstream material sourcing within Europe and for the significant primary transport from China.</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(tzqgxyepvu)</dc:title>
  <dc:creator/>
  <dc:description>Detailed Product Carbon Footprint (PCF) analysis report for Smart Home Hub (tzqgxyepvu) by EcoTech Solutions, adhering to GHG Protocol standards and 2026 requirements.</dc:description>
  <dc:language>en</dc:language>
  <cp:keywords/>
  <dcterms:created xsi:type="dcterms:W3CDTF">2026-07-15T11:34:57Z</dcterms:created>
  <dcterms:modified xsi:type="dcterms:W3CDTF">2026-07-15T11:34:57Z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