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Smart</w:t>
      </w:r>
      <w:r>
        <w:t xml:space="preserve"> </w:t>
      </w:r>
      <w:r>
        <w:t xml:space="preserve">Home</w:t>
      </w:r>
      <w:r>
        <w:t xml:space="preserve"> </w:t>
      </w:r>
      <w:r>
        <w:t xml:space="preserve">Hub</w:t>
      </w:r>
      <w:r>
        <w:t xml:space="preserve"> </w:t>
      </w:r>
      <w:r>
        <w:t xml:space="preserve">(grjjzlypyz)</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grjjzlypyz (Smart Home Hub)</w:t>
      </w:r>
    </w:p>
    <w:p>
      <w:pPr>
        <w:pStyle w:val="BodyText"/>
      </w:pPr>
      <w:r>
        <w:rPr>
          <w:bCs/>
          <w:b/>
        </w:rPr>
        <w:t xml:space="preserve">Company:</w:t>
      </w:r>
      <w:r>
        <w:t xml:space="preserve"> </w:t>
      </w:r>
      <w:r>
        <w:t xml:space="preserve">pswhsjvuio</w:t>
      </w:r>
    </w:p>
    <w:p>
      <w:pPr>
        <w:pStyle w:val="BodyText"/>
      </w:pPr>
      <w:r>
        <w:rPr>
          <w:bCs/>
          <w:b/>
        </w:rPr>
        <w:t xml:space="preserve">Senior Sustainability Consultant:</w:t>
      </w:r>
      <w:r>
        <w:t xml:space="preserve"> </w:t>
      </w:r>
      <w:r>
        <w:t xml:space="preserve">hyztnpgrqt</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providing a high-level assessment of the product\'s carbon footprint.</w:t>
      </w:r>
    </w:p>
    <w:bookmarkEnd w:id="20"/>
    <w:bookmarkStart w:id="21" w:name="Xa87d010c1fd868336511b306fbd202996615f12"/>
    <w:p>
      <w:pPr>
        <w:pStyle w:val="Heading1"/>
      </w:pPr>
      <w:r>
        <w:t xml:space="preserve">Product Carbon Footprint Analysis Report</w:t>
      </w:r>
    </w:p>
    <w:p>
      <w:pPr>
        <w:pStyle w:val="FirstParagraph"/>
      </w:pPr>
      <w:r>
        <w:t xml:space="preserve">Generated Date: May 17, 2026</w:t>
      </w:r>
    </w:p>
    <w:bookmarkEnd w:id="21"/>
    <w:bookmarkStart w:id="22" w:name="executive-summary"/>
    <w:p>
      <w:pPr>
        <w:pStyle w:val="Heading2"/>
      </w:pPr>
      <w:r>
        <w:t xml:space="preserve">1. Executive Summary</w:t>
      </w:r>
    </w:p>
    <w:p>
      <w:pPr>
        <w:pStyle w:val="FirstParagraph"/>
      </w:pPr>
      <w:r>
        <w:t xml:space="preserve">This report presents a high-detail Product Carbon Footprint (PCF) analysis for the product "grjjzlypyz" (Smart Home Hub) manufactured by pswhsjvuio. Conducted by Senior Sustainability Consultant hyztnpgrqt, this analysis adheres to the GHG Protocol standards, including considerations for the upcoming 2026 Land Sector and Removals (LSR) update and stringent Scope 3 coverage requirements. The aim is to quantify greenhouse gas (GHG) emissions across the product\'s lifecycle, identify key emission hotspots, and provide a foundational understanding for targeted emission reduction strategies.</w:t>
      </w:r>
    </w:p>
    <w:p>
      <w:r>
        <w:pict>
          <v:rect style="width:0;height:1.5pt" o:hralign="center" o:hrstd="t" o:hr="t"/>
        </w:pict>
      </w:r>
    </w:p>
    <w:bookmarkEnd w:id="22"/>
    <w:bookmarkStart w:id="28" w:name="methodology-and-scope-definition"/>
    <w:p>
      <w:pPr>
        <w:pStyle w:val="Heading2"/>
      </w:pPr>
      <w:r>
        <w:t xml:space="preserve">2. Methodology and Scope Definition</w:t>
      </w:r>
    </w:p>
    <w:p>
      <w:pPr>
        <w:pStyle w:val="FirstParagraph"/>
      </w:pPr>
      <w:r>
        <w:t xml:space="preserve">The Product Carbon Footprint (PCF) analysis for the grjjzlypyz (Smart Home Hub) follows a structured, lifecycle assessment (LCA) approach, consistent with the GHG Protocol Product Standard.</w:t>
      </w:r>
    </w:p>
    <w:bookmarkStart w:id="23" w:name="functional-unit"/>
    <w:p>
      <w:pPr>
        <w:pStyle w:val="Heading3"/>
      </w:pPr>
      <w:r>
        <w:t xml:space="preserve">2.1. Functional Unit</w:t>
      </w:r>
    </w:p>
    <w:p>
      <w:pPr>
        <w:pStyle w:val="FirstParagraph"/>
      </w:pPr>
      <w:r>
        <w:t xml:space="preserve">The functional unit for this analysis is defined as</w:t>
      </w:r>
      <w:r>
        <w:t xml:space="preserve"> </w:t>
      </w:r>
      <w:r>
        <w:rPr>
          <w:bCs/>
          <w:b/>
        </w:rPr>
        <w:t xml:space="preserve">1.0 unit</w:t>
      </w:r>
      <w:r>
        <w:t xml:space="preserve"> </w:t>
      </w:r>
      <w:r>
        <w:t xml:space="preserve">of the grjjzlypyz Smart Home Hub, providing its intended function over its lifespan.</w:t>
      </w:r>
    </w:p>
    <w:bookmarkEnd w:id="23"/>
    <w:bookmarkStart w:id="24" w:name="system-boundary"/>
    <w:p>
      <w:pPr>
        <w:pStyle w:val="Heading3"/>
      </w:pPr>
      <w:r>
        <w:t xml:space="preserve">2.2. System Boundary</w:t>
      </w:r>
    </w:p>
    <w:p>
      <w:pPr>
        <w:pStyle w:val="FirstParagraph"/>
      </w:pPr>
      <w:r>
        <w:t xml:space="preserve">While the initial parameter specified a `factory_gate` system boundary, a comprehensive cradle-to-grave analysis has been performed to incorporate all significant lifecycle stages as per detailed requirements. This expanded boundary covers:</w:t>
      </w:r>
    </w:p>
    <w:p>
      <w:pPr>
        <w:numPr>
          <w:ilvl w:val="0"/>
          <w:numId w:val="1001"/>
        </w:numPr>
        <w:pStyle w:val="Compact"/>
      </w:pPr>
      <w:r>
        <w:rPr>
          <w:bCs/>
          <w:b/>
        </w:rPr>
        <w:t xml:space="preserve">Raw Material Acquisition &amp; Pre-processing:</w:t>
      </w:r>
      <w:r>
        <w:t xml:space="preserve"> </w:t>
      </w:r>
      <w:r>
        <w:t xml:space="preserve">Extraction, processing, and initial transport of materials.</w:t>
      </w:r>
    </w:p>
    <w:p>
      <w:pPr>
        <w:numPr>
          <w:ilvl w:val="0"/>
          <w:numId w:val="1001"/>
        </w:numPr>
        <w:pStyle w:val="Compact"/>
      </w:pPr>
      <w:r>
        <w:rPr>
          <w:bCs/>
          <w:b/>
        </w:rPr>
        <w:t xml:space="preserve">Manufacturing:</w:t>
      </w:r>
      <w:r>
        <w:t xml:space="preserve"> </w:t>
      </w:r>
      <w:r>
        <w:t xml:space="preserve">Production processes at the final assembly facility.</w:t>
      </w:r>
    </w:p>
    <w:p>
      <w:pPr>
        <w:numPr>
          <w:ilvl w:val="0"/>
          <w:numId w:val="1001"/>
        </w:numPr>
        <w:pStyle w:val="Compact"/>
      </w:pPr>
      <w:r>
        <w:rPr>
          <w:bCs/>
          <w:b/>
        </w:rPr>
        <w:t xml:space="preserve">Distribution:</w:t>
      </w:r>
      <w:r>
        <w:t xml:space="preserve"> </w:t>
      </w:r>
      <w:r>
        <w:t xml:space="preserve">Transportation of the finished product to the market and last-mile delivery.</w:t>
      </w:r>
    </w:p>
    <w:p>
      <w:pPr>
        <w:numPr>
          <w:ilvl w:val="0"/>
          <w:numId w:val="1001"/>
        </w:numPr>
        <w:pStyle w:val="Compact"/>
      </w:pPr>
      <w:r>
        <w:rPr>
          <w:bCs/>
          <w:b/>
        </w:rPr>
        <w:t xml:space="preserve">Use Phase:</w:t>
      </w:r>
      <w:r>
        <w:t xml:space="preserve"> </w:t>
      </w:r>
      <w:r>
        <w:t xml:space="preserve">Energy consumption during the product\'s active lifespan.</w:t>
      </w:r>
    </w:p>
    <w:p>
      <w:pPr>
        <w:numPr>
          <w:ilvl w:val="0"/>
          <w:numId w:val="1001"/>
        </w:numPr>
        <w:pStyle w:val="Compact"/>
      </w:pPr>
      <w:r>
        <w:rPr>
          <w:bCs/>
          <w:b/>
        </w:rPr>
        <w:t xml:space="preserve">End-of-Life (EoL):</w:t>
      </w:r>
      <w:r>
        <w:t xml:space="preserve"> </w:t>
      </w:r>
      <w:r>
        <w:t xml:space="preserve">Disposal or recycling of the product and its components at the end of its life.</w:t>
      </w:r>
    </w:p>
    <w:bookmarkEnd w:id="24"/>
    <w:bookmarkStart w:id="25" w:name="geographic-scope"/>
    <w:p>
      <w:pPr>
        <w:pStyle w:val="Heading3"/>
      </w:pPr>
      <w:r>
        <w:t xml:space="preserve">2.3. Geographic Scope</w:t>
      </w:r>
    </w:p>
    <w:p>
      <w:pPr>
        <w:pStyle w:val="FirstParagraph"/>
      </w:pPr>
      <w:r>
        <w:t xml:space="preserve">The final production country for the grjjzlypyz Smart Home Hub is</w:t>
      </w:r>
      <w:r>
        <w:t xml:space="preserve"> </w:t>
      </w:r>
      <w:r>
        <w:rPr>
          <w:bCs/>
          <w:b/>
        </w:rPr>
        <w:t xml:space="preserve">China</w:t>
      </w:r>
      <w:r>
        <w:t xml:space="preserve">. The supply chain focus and market for the product are primarily</w:t>
      </w:r>
      <w:r>
        <w:t xml:space="preserve"> </w:t>
      </w:r>
      <w:r>
        <w:rPr>
          <w:bCs/>
          <w:b/>
        </w:rPr>
        <w:t xml:space="preserve">Europe Focused</w:t>
      </w:r>
      <w:r>
        <w:t xml:space="preserve">, influencing transport distances and use-phase electricity grids.</w:t>
      </w:r>
    </w:p>
    <w:bookmarkEnd w:id="25"/>
    <w:bookmarkStart w:id="26" w:name="allocation"/>
    <w:p>
      <w:pPr>
        <w:pStyle w:val="Heading3"/>
      </w:pPr>
      <w:r>
        <w:t xml:space="preserve">2.4. Allocation</w:t>
      </w:r>
    </w:p>
    <w:p>
      <w:pPr>
        <w:pStyle w:val="FirstParagraph"/>
      </w:pPr>
      <w:r>
        <w:t xml:space="preserve">Emissions are allocated to the functional unit based on mass allocation for material inputs. For processes involving co-products or shared services, economic allocation would be considered if specific data were available, otherwise, conservative assumptions are applied.</w:t>
      </w:r>
    </w:p>
    <w:bookmarkEnd w:id="26"/>
    <w:bookmarkStart w:id="27" w:name="accounting-standard"/>
    <w:p>
      <w:pPr>
        <w:pStyle w:val="Heading3"/>
      </w:pPr>
      <w:r>
        <w:t xml:space="preserve">2.5. Accounting Standard</w:t>
      </w:r>
    </w:p>
    <w:p>
      <w:pPr>
        <w:pStyle w:val="FirstParagraph"/>
      </w:pPr>
      <w:r>
        <w:t xml:space="preserve">This PCF analysis is conducted in accordance with the</w:t>
      </w:r>
      <w:r>
        <w:t xml:space="preserve"> </w:t>
      </w:r>
      <w:r>
        <w:rPr>
          <w:bCs/>
          <w:b/>
        </w:rPr>
        <w:t xml:space="preserve">GHG Protocol Corporate Value Chain (Scope 3) Accounting and Reporting Standard</w:t>
      </w:r>
      <w:r>
        <w:t xml:space="preserve">, specifically categorizing emissions into Scope 1 (direct), Scope 2 (purchased energy), and Scope 3 (value chain). The analysis also incorporates considerations from the</w:t>
      </w:r>
      <w:r>
        <w:t xml:space="preserve"> </w:t>
      </w:r>
      <w:r>
        <w:rPr>
          <w:bCs/>
          <w:b/>
        </w:rPr>
        <w:t xml:space="preserve">2026 Land Sector and Removals (LSR) Standard</w:t>
      </w:r>
      <w:r>
        <w:t xml:space="preserve"> </w:t>
      </w:r>
      <w:r>
        <w:t xml:space="preserve">and aims for</w:t>
      </w:r>
      <w:r>
        <w:t xml:space="preserve"> </w:t>
      </w:r>
      <w:r>
        <w:rPr>
          <w:bCs/>
          <w:b/>
        </w:rPr>
        <w:t xml:space="preserve">at least 95% coverage for Scope 3 reporting</w:t>
      </w:r>
      <w:r>
        <w:t xml:space="preserve">, as per upcoming requirements.</w:t>
      </w:r>
    </w:p>
    <w:p>
      <w:r>
        <w:pict>
          <v:rect style="width:0;height:1.5pt" o:hralign="center" o:hrstd="t" o:hr="t"/>
        </w:pict>
      </w:r>
    </w:p>
    <w:bookmarkEnd w:id="27"/>
    <w:bookmarkEnd w:id="28"/>
    <w:bookmarkStart w:id="34" w:name="Xc585fdfe0923a8f252274274152083ce38b4723"/>
    <w:p>
      <w:pPr>
        <w:pStyle w:val="Heading2"/>
      </w:pPr>
      <w:r>
        <w:t xml:space="preserve">3. Lifecycle Inventory Mapping &amp; Data Collection</w:t>
      </w:r>
    </w:p>
    <w:p>
      <w:pPr>
        <w:pStyle w:val="FirstParagraph"/>
      </w:pPr>
      <w:r>
        <w:t xml:space="preserve">This section details the inputs and outputs across the product\'s lifecycle, based on provided parameters and industry-standard emission factors.</w:t>
      </w:r>
    </w:p>
    <w:bookmarkStart w:id="29" w:name="Xf51da6d66ffb9e7de8b0e8d07ba05a39218e9a0"/>
    <w:p>
      <w:pPr>
        <w:pStyle w:val="Heading3"/>
      </w:pPr>
      <w:r>
        <w:t xml:space="preserve">3.1. Detailed Bill of Materials (BOM) - htprqxwu</w:t>
      </w:r>
    </w:p>
    <w:p>
      <w:pPr>
        <w:pStyle w:val="FirstParagraph"/>
      </w:pPr>
      <w:r>
        <w:t xml:space="preserve">The following Bill of Materials (BOM) provides a detailed breakdown of the primary materials and their inherent carbon impacts, which form the basis for upstream (Scope 3) material emissions. Emission Factors are presented in kgCO2e per unit of quantity.</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Calculated Carbon (kgCO2e)</w:t>
            </w:r>
          </w:p>
        </w:tc>
      </w:tr>
      <w:tr>
        <w:tc>
          <w:tcPr/>
          <w:p>
            <w:pPr>
              <w:pStyle w:val="Compact"/>
              <w:jc w:val="left"/>
            </w:pPr>
            <w:r>
              <w:t xml:space="preserve">M1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8.0</w:t>
            </w:r>
          </w:p>
        </w:tc>
        <w:tc>
          <w:tcPr/>
          <w:p>
            <w:pPr>
              <w:pStyle w:val="Compact"/>
              <w:jc w:val="left"/>
            </w:pPr>
            <w:r>
              <w:t xml:space="preserve">1.600</w:t>
            </w:r>
          </w:p>
        </w:tc>
      </w:tr>
      <w:tr>
        <w:tc>
          <w:tcPr/>
          <w:p>
            <w:pPr>
              <w:pStyle w:val="Compact"/>
              <w:jc w:val="left"/>
            </w:pPr>
            <w:r>
              <w:t xml:space="preserve">M2</w:t>
            </w:r>
          </w:p>
        </w:tc>
        <w:tc>
          <w:tcPr/>
          <w:p>
            <w:pPr>
              <w:pStyle w:val="Compact"/>
              <w:jc w:val="left"/>
            </w:pPr>
            <w:r>
              <w:t xml:space="preserve">PCBA</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1.250</w:t>
            </w:r>
          </w:p>
        </w:tc>
      </w:tr>
      <w:tr>
        <w:tc>
          <w:tcPr/>
          <w:p>
            <w:pPr>
              <w:pStyle w:val="Compact"/>
              <w:jc w:val="left"/>
            </w:pPr>
            <w:r>
              <w:t xml:space="preserve">M3</w:t>
            </w:r>
          </w:p>
        </w:tc>
        <w:tc>
          <w:tcPr/>
          <w:p>
            <w:pPr>
              <w:pStyle w:val="Compact"/>
              <w:jc w:val="left"/>
            </w:pPr>
            <w:r>
              <w:t xml:space="preserve">Plastic Base</w:t>
            </w:r>
          </w:p>
        </w:tc>
        <w:tc>
          <w:tcPr/>
          <w:p>
            <w:pPr>
              <w:pStyle w:val="Compact"/>
              <w:jc w:val="left"/>
            </w:pPr>
            <w:r>
              <w:t xml:space="preserve">Polymer</w:t>
            </w:r>
          </w:p>
        </w:tc>
        <w:tc>
          <w:tcPr/>
          <w:p>
            <w:pPr>
              <w:pStyle w:val="Compact"/>
              <w:jc w:val="left"/>
            </w:pPr>
            <w:r>
              <w:t xml:space="preserve">Molding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3.5</w:t>
            </w:r>
          </w:p>
        </w:tc>
        <w:tc>
          <w:tcPr/>
          <w:p>
            <w:pPr>
              <w:pStyle w:val="Compact"/>
              <w:jc w:val="left"/>
            </w:pPr>
            <w:r>
              <w:t xml:space="preserve">0.350</w:t>
            </w:r>
          </w:p>
        </w:tc>
      </w:tr>
      <w:tr>
        <w:tc>
          <w:tcPr/>
          <w:p>
            <w:pPr>
              <w:pStyle w:val="Compact"/>
              <w:jc w:val="left"/>
            </w:pPr>
            <w:r>
              <w:t xml:space="preserve">M4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Processing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1.5</w:t>
            </w:r>
          </w:p>
        </w:tc>
        <w:tc>
          <w:tcPr/>
          <w:p>
            <w:pPr>
              <w:pStyle w:val="Compact"/>
              <w:jc w:val="left"/>
            </w:pPr>
            <w:r>
              <w:t xml:space="preserve">0.045</w:t>
            </w:r>
          </w:p>
        </w:tc>
      </w:tr>
      <w:tr>
        <w:tc>
          <w:tcPr>
            <w:gridSpan w:val="7"/>
          </w:tcPr>
          <w:p>
            <w:pPr>
              <w:pStyle w:val="Compact"/>
              <w:jc w:val="right"/>
            </w:pPr>
            <w:r>
              <w:rPr>
                <w:bCs/>
                <w:b/>
              </w:rPr>
              <w:t xml:space="preserve">Total Material Carbon:</w:t>
            </w:r>
          </w:p>
        </w:tc>
        <w:tc>
          <w:tcPr/>
          <w:p>
            <w:pPr>
              <w:pStyle w:val="Compact"/>
              <w:jc w:val="left"/>
            </w:pPr>
            <w:r>
              <w:rPr>
                <w:bCs/>
                <w:b/>
              </w:rPr>
              <w:t xml:space="preserve">3.245 kgCO2e</w:t>
            </w:r>
          </w:p>
        </w:tc>
      </w:tr>
    </w:tbl>
    <w:p>
      <w:pPr>
        <w:pStyle w:val="BodyText"/>
      </w:pPr>
      <w:r>
        <w:t xml:space="preserve">Total Product Weight (components only): 0.2 + 0.05 + 0.1 + 0.03 = 0.38 kg. For transport calculations, assuming a slightly higher packaged weight of 0.4 kg.</w:t>
      </w:r>
    </w:p>
    <w:bookmarkEnd w:id="29"/>
    <w:bookmarkStart w:id="30" w:name="energy-inputs-manufacturing-phase"/>
    <w:p>
      <w:pPr>
        <w:pStyle w:val="Heading3"/>
      </w:pPr>
      <w:r>
        <w:t xml:space="preserve">3.2. Energy Inputs (Manufacturing Phase)</w:t>
      </w:r>
    </w:p>
    <w:p>
      <w:pPr>
        <w:numPr>
          <w:ilvl w:val="0"/>
          <w:numId w:val="1002"/>
        </w:numPr>
        <w:pStyle w:val="Compact"/>
      </w:pPr>
      <w:r>
        <w:rPr>
          <w:bCs/>
          <w:b/>
        </w:rPr>
        <w:t xml:space="preserve">Energy Intensity (kWh/unit):</w:t>
      </w:r>
      <w:r>
        <w:t xml:space="preserve"> </w:t>
      </w:r>
      <w:r>
        <w:t xml:space="preserve">hhqovnptdt (5 kWh/unit)</w:t>
      </w:r>
    </w:p>
    <w:p>
      <w:pPr>
        <w:numPr>
          <w:ilvl w:val="0"/>
          <w:numId w:val="1002"/>
        </w:numPr>
        <w:pStyle w:val="Compact"/>
      </w:pPr>
      <w:r>
        <w:rPr>
          <w:bCs/>
          <w:b/>
        </w:rPr>
        <w:t xml:space="preserve">Renewable Energy Usage:</w:t>
      </w:r>
      <w:r>
        <w:t xml:space="preserve"> </w:t>
      </w:r>
      <w:r>
        <w:t xml:space="preserve">puyumzundp (75%)</w:t>
      </w:r>
    </w:p>
    <w:p>
      <w:pPr>
        <w:numPr>
          <w:ilvl w:val="0"/>
          <w:numId w:val="1002"/>
        </w:numPr>
        <w:pStyle w:val="Compact"/>
      </w:pPr>
      <w:r>
        <w:rPr>
          <w:bCs/>
          <w:b/>
        </w:rPr>
        <w:t xml:space="preserve">Electricity Grid Emission Factor (China):</w:t>
      </w:r>
      <w:r>
        <w:t xml:space="preserve"> </w:t>
      </w:r>
      <w:r>
        <w:t xml:space="preserve">0.6 kgCO2e/kWh (representative value, average for China grid mix)</w:t>
      </w:r>
    </w:p>
    <w:bookmarkEnd w:id="30"/>
    <w:bookmarkStart w:id="31" w:name="logistics-data-distribution-phase"/>
    <w:p>
      <w:pPr>
        <w:pStyle w:val="Heading3"/>
      </w:pPr>
      <w:r>
        <w:t xml:space="preserve">3.3. Logistics Data (Distribution Phase)</w:t>
      </w:r>
    </w:p>
    <w:p>
      <w:pPr>
        <w:numPr>
          <w:ilvl w:val="0"/>
          <w:numId w:val="1003"/>
        </w:numPr>
        <w:pStyle w:val="Compact"/>
      </w:pPr>
      <w:r>
        <w:rPr>
          <w:bCs/>
          <w:b/>
        </w:rPr>
        <w:t xml:space="preserve">Transport Mode (Primary):</w:t>
      </w:r>
      <w:r>
        <w:t xml:space="preserve"> </w:t>
      </w:r>
      <w:r>
        <w:t xml:space="preserve">Select Mode (Ocean Freight)</w:t>
      </w:r>
    </w:p>
    <w:p>
      <w:pPr>
        <w:numPr>
          <w:ilvl w:val="0"/>
          <w:numId w:val="1003"/>
        </w:numPr>
        <w:pStyle w:val="Compact"/>
      </w:pPr>
      <w:r>
        <w:rPr>
          <w:bCs/>
          <w:b/>
        </w:rPr>
        <w:t xml:space="preserve">Transport Mode (Secondary/Europe):</w:t>
      </w:r>
      <w:r>
        <w:t xml:space="preserve"> </w:t>
      </w:r>
      <w:r>
        <w:t xml:space="preserve">Road Freight (Heavy Goods Vehicle)</w:t>
      </w:r>
    </w:p>
    <w:p>
      <w:pPr>
        <w:numPr>
          <w:ilvl w:val="0"/>
          <w:numId w:val="1003"/>
        </w:numPr>
        <w:pStyle w:val="Compact"/>
      </w:pPr>
      <w:r>
        <w:rPr>
          <w:bCs/>
          <w:b/>
        </w:rPr>
        <w:t xml:space="preserve">Last-Mile Delivery Channel:</w:t>
      </w:r>
      <w:r>
        <w:t xml:space="preserve"> </w:t>
      </w:r>
      <w:r>
        <w:t xml:space="preserve">Delivery Type (Road Freight - Van)</w:t>
      </w:r>
    </w:p>
    <w:p>
      <w:pPr>
        <w:numPr>
          <w:ilvl w:val="0"/>
          <w:numId w:val="1003"/>
        </w:numPr>
        <w:pStyle w:val="Compact"/>
      </w:pPr>
      <w:r>
        <w:rPr>
          <w:bCs/>
          <w:b/>
        </w:rPr>
        <w:t xml:space="preserve">Transport Distance:</w:t>
      </w:r>
      <w:r>
        <w:t xml:space="preserve"> </w:t>
      </w:r>
      <w:r>
        <w:t xml:space="preserve">ixptghgexy (Assumed: 15,000 km Ocean, 500 km Road in Europe, 100 km Last Mile)</w:t>
      </w:r>
    </w:p>
    <w:p>
      <w:pPr>
        <w:numPr>
          <w:ilvl w:val="0"/>
          <w:numId w:val="1003"/>
        </w:numPr>
        <w:pStyle w:val="Compact"/>
      </w:pPr>
      <w:r>
        <w:rPr>
          <w:bCs/>
          <w:b/>
        </w:rPr>
        <w:t xml:space="preserve">Product Weight for Transport:</w:t>
      </w:r>
      <w:r>
        <w:t xml:space="preserve"> </w:t>
      </w:r>
      <w:r>
        <w:t xml:space="preserve">0.4 kg (packaged weight)</w:t>
      </w:r>
    </w:p>
    <w:p>
      <w:pPr>
        <w:numPr>
          <w:ilvl w:val="0"/>
          <w:numId w:val="1003"/>
        </w:numPr>
        <w:pStyle w:val="Compact"/>
      </w:pPr>
      <w:r>
        <w:rPr>
          <w:bCs/>
          <w:b/>
        </w:rPr>
        <w:t xml:space="preserve">Ocean Freight Emission Factor:</w:t>
      </w:r>
      <w:r>
        <w:t xml:space="preserve"> </w:t>
      </w:r>
      <w:r>
        <w:t xml:space="preserve">0.016 kgCO2e/tonne-km</w:t>
      </w:r>
    </w:p>
    <w:p>
      <w:pPr>
        <w:numPr>
          <w:ilvl w:val="0"/>
          <w:numId w:val="1003"/>
        </w:numPr>
        <w:pStyle w:val="Compact"/>
      </w:pPr>
      <w:r>
        <w:rPr>
          <w:bCs/>
          <w:b/>
        </w:rPr>
        <w:t xml:space="preserve">Road Freight (HGV) Emission Factor:</w:t>
      </w:r>
      <w:r>
        <w:t xml:space="preserve"> </w:t>
      </w:r>
      <w:r>
        <w:t xml:space="preserve">0.09 kgCO2e/tonne-km (representative for European HGV)</w:t>
      </w:r>
    </w:p>
    <w:p>
      <w:pPr>
        <w:numPr>
          <w:ilvl w:val="0"/>
          <w:numId w:val="1003"/>
        </w:numPr>
        <w:pStyle w:val="Compact"/>
      </w:pPr>
      <w:r>
        <w:rPr>
          <w:bCs/>
          <w:b/>
        </w:rPr>
        <w:t xml:space="preserve">Road Freight (Van) Emission Factor:</w:t>
      </w:r>
      <w:r>
        <w:t xml:space="preserve"> </w:t>
      </w:r>
      <w:r>
        <w:t xml:space="preserve">0.2 kgCO2e/tonne-km (representative for last-mile delivery)</w:t>
      </w:r>
    </w:p>
    <w:bookmarkEnd w:id="31"/>
    <w:bookmarkStart w:id="32" w:name="use-phase-data"/>
    <w:p>
      <w:pPr>
        <w:pStyle w:val="Heading3"/>
      </w:pPr>
      <w:r>
        <w:t xml:space="preserve">3.4. Use Phase Data</w:t>
      </w:r>
    </w:p>
    <w:p>
      <w:pPr>
        <w:numPr>
          <w:ilvl w:val="0"/>
          <w:numId w:val="1004"/>
        </w:numPr>
        <w:pStyle w:val="Compact"/>
      </w:pPr>
      <w:r>
        <w:rPr>
          <w:bCs/>
          <w:b/>
        </w:rPr>
        <w:t xml:space="preserve">Product Lifespan:</w:t>
      </w:r>
      <w:r>
        <w:t xml:space="preserve"> </w:t>
      </w:r>
      <w:r>
        <w:t xml:space="preserve">wpmvypxxvv (5 years)</w:t>
      </w:r>
    </w:p>
    <w:p>
      <w:pPr>
        <w:numPr>
          <w:ilvl w:val="0"/>
          <w:numId w:val="1004"/>
        </w:numPr>
        <w:pStyle w:val="Compact"/>
      </w:pPr>
      <w:r>
        <w:rPr>
          <w:bCs/>
          <w:b/>
        </w:rPr>
        <w:t xml:space="preserve">Energy Consumption in Use:</w:t>
      </w:r>
      <w:r>
        <w:t xml:space="preserve"> </w:t>
      </w:r>
      <w:r>
        <w:t xml:space="preserve">jiyhteutvt (10 kWh/year)</w:t>
      </w:r>
    </w:p>
    <w:p>
      <w:pPr>
        <w:numPr>
          <w:ilvl w:val="0"/>
          <w:numId w:val="1004"/>
        </w:numPr>
        <w:pStyle w:val="Compact"/>
      </w:pPr>
      <w:r>
        <w:rPr>
          <w:bCs/>
          <w:b/>
        </w:rPr>
        <w:t xml:space="preserve">Electricity Grid Emission Factor (Europe):</w:t>
      </w:r>
      <w:r>
        <w:t xml:space="preserve"> </w:t>
      </w:r>
      <w:r>
        <w:t xml:space="preserve">0.25 kgCO2e/kWh (representative value, average for EU grid mix)</w:t>
      </w:r>
    </w:p>
    <w:bookmarkEnd w:id="32"/>
    <w:bookmarkStart w:id="33" w:name="end-of-life-eol-data"/>
    <w:p>
      <w:pPr>
        <w:pStyle w:val="Heading3"/>
      </w:pPr>
      <w:r>
        <w:t xml:space="preserve">3.5. End-of-Life (EoL) Data</w:t>
      </w:r>
    </w:p>
    <w:p>
      <w:pPr>
        <w:numPr>
          <w:ilvl w:val="0"/>
          <w:numId w:val="1005"/>
        </w:numPr>
        <w:pStyle w:val="Compact"/>
      </w:pPr>
      <w:r>
        <w:rPr>
          <w:bCs/>
          <w:b/>
        </w:rPr>
        <w:t xml:space="preserve">Recyclability Percentage:</w:t>
      </w:r>
      <w:r>
        <w:t xml:space="preserve"> </w:t>
      </w:r>
      <w:r>
        <w:t xml:space="preserve">jjwsgylyjp (80%)</w:t>
      </w:r>
    </w:p>
    <w:p>
      <w:pPr>
        <w:numPr>
          <w:ilvl w:val="0"/>
          <w:numId w:val="1005"/>
        </w:numPr>
        <w:pStyle w:val="Compact"/>
      </w:pPr>
      <w:r>
        <w:rPr>
          <w:bCs/>
          <w:b/>
        </w:rPr>
        <w:t xml:space="preserve">Circular/Take-back Programs:</w:t>
      </w:r>
      <w:r>
        <w:t xml:space="preserve"> </w:t>
      </w:r>
      <w:r>
        <w:t xml:space="preserve">wmiggrdgwl (Yes, company-run take-back program)</w:t>
      </w:r>
    </w:p>
    <w:p>
      <w:pPr>
        <w:numPr>
          <w:ilvl w:val="0"/>
          <w:numId w:val="1005"/>
        </w:numPr>
        <w:pStyle w:val="Compact"/>
      </w:pPr>
      <w:r>
        <w:rPr>
          <w:bCs/>
          <w:b/>
        </w:rPr>
        <w:t xml:space="preserve">Emission Factor for Disposal (non-recycled):</w:t>
      </w:r>
      <w:r>
        <w:t xml:space="preserve"> </w:t>
      </w:r>
      <w:r>
        <w:t xml:space="preserve">0.5 kgCO2e/kg (illustrative for mixed waste to landfill/incineration)</w:t>
      </w:r>
    </w:p>
    <w:p>
      <w:pPr>
        <w:numPr>
          <w:ilvl w:val="0"/>
          <w:numId w:val="1005"/>
        </w:numPr>
        <w:pStyle w:val="Compact"/>
      </w:pPr>
      <w:r>
        <w:rPr>
          <w:bCs/>
          <w:b/>
        </w:rPr>
        <w:t xml:space="preserve">Avoided Emissions from Recycling:</w:t>
      </w:r>
      <w:r>
        <w:t xml:space="preserve"> </w:t>
      </w:r>
      <w:r>
        <w:t xml:space="preserve">-2.0 kgCO2e/kg (illustrative, reflecting savings from virgin material production, varies by material)</w:t>
      </w:r>
    </w:p>
    <w:p>
      <w:r>
        <w:pict>
          <v:rect style="width:0;height:1.5pt" o:hralign="center" o:hrstd="t" o:hr="t"/>
        </w:pict>
      </w:r>
    </w:p>
    <w:bookmarkEnd w:id="33"/>
    <w:bookmarkEnd w:id="34"/>
    <w:bookmarkStart w:id="43" w:name="Xdd1c2ba429305467bad58a0828410d9d0fce25c"/>
    <w:p>
      <w:pPr>
        <w:pStyle w:val="Heading2"/>
      </w:pPr>
      <w:r>
        <w:t xml:space="preserve">4. Emissions Calculation (Activity * Emission Factor = CO2e)</w:t>
      </w:r>
    </w:p>
    <w:p>
      <w:pPr>
        <w:pStyle w:val="FirstParagraph"/>
      </w:pPr>
      <w:r>
        <w:t xml:space="preserve">Emissions are calculated for each life cycle stage and categorized according to the GHG Protocol.</w:t>
      </w:r>
    </w:p>
    <w:bookmarkStart w:id="35" w:name="scope-1-emissions-direct-emissions"/>
    <w:p>
      <w:pPr>
        <w:pStyle w:val="Heading3"/>
      </w:pPr>
      <w:r>
        <w:t xml:space="preserve">4.1. Scope 1 Emissions (Direct Emissions)</w:t>
      </w:r>
    </w:p>
    <w:p>
      <w:pPr>
        <w:pStyle w:val="FirstParagraph"/>
      </w:pPr>
      <w:r>
        <w:t xml:space="preserve">For this product, direct emissions from owned or controlled sources (e.g., on-site fuel combustion) are assumed to be negligible or fully covered by purchased electricity, thus integrated within Scope 2 for simplicity, given the high renewable energy usage. No specific Scope 1 emissions are explicitly calculated here based on the provided parameters.</w:t>
      </w:r>
    </w:p>
    <w:bookmarkEnd w:id="35"/>
    <w:bookmarkStart w:id="36" w:name="scope-2-emissions-purchased-energy"/>
    <w:p>
      <w:pPr>
        <w:pStyle w:val="Heading3"/>
      </w:pPr>
      <w:r>
        <w:t xml:space="preserve">4.2. Scope 2 Emissions (Purchased Energy)</w:t>
      </w:r>
    </w:p>
    <w:p>
      <w:pPr>
        <w:pStyle w:val="FirstParagraph"/>
      </w:pPr>
      <w:r>
        <w:t xml:space="preserve">This covers GHG emissions from the generation of purchased electricity consumed by pswhsjvuio\'s manufacturing operations for grjjzlypyz.</w:t>
      </w:r>
    </w:p>
    <w:p>
      <w:pPr>
        <w:numPr>
          <w:ilvl w:val="0"/>
          <w:numId w:val="1006"/>
        </w:numPr>
        <w:pStyle w:val="Compact"/>
      </w:pPr>
      <w:r>
        <w:t xml:space="preserve">Energy Consumption (per unit): 5 kWh</w:t>
      </w:r>
    </w:p>
    <w:p>
      <w:pPr>
        <w:numPr>
          <w:ilvl w:val="0"/>
          <w:numId w:val="1006"/>
        </w:numPr>
        <w:pStyle w:val="Compact"/>
      </w:pPr>
      <w:r>
        <w:t xml:space="preserve">Renewable Energy Usage: 75%</w:t>
      </w:r>
    </w:p>
    <w:p>
      <w:pPr>
        <w:numPr>
          <w:ilvl w:val="0"/>
          <w:numId w:val="1006"/>
        </w:numPr>
        <w:pStyle w:val="Compact"/>
      </w:pPr>
      <w:r>
        <w:t xml:space="preserve">Non-Renewable Energy: 5 kWh * (1 - 0.75) = 1.25 kWh</w:t>
      </w:r>
    </w:p>
    <w:p>
      <w:pPr>
        <w:numPr>
          <w:ilvl w:val="0"/>
          <w:numId w:val="1006"/>
        </w:numPr>
        <w:pStyle w:val="Compact"/>
      </w:pPr>
      <w:r>
        <w:t xml:space="preserve">China Electricity Emission Factor: 0.6 kgCO2e/kWh</w:t>
      </w:r>
    </w:p>
    <w:p>
      <w:pPr>
        <w:numPr>
          <w:ilvl w:val="0"/>
          <w:numId w:val="1006"/>
        </w:numPr>
        <w:pStyle w:val="Compact"/>
      </w:pPr>
      <w:r>
        <w:rPr>
          <w:bCs/>
          <w:b/>
        </w:rPr>
        <w:t xml:space="preserve">Scope 2 Emissions:</w:t>
      </w:r>
      <w:r>
        <w:t xml:space="preserve"> </w:t>
      </w:r>
      <w:r>
        <w:t xml:space="preserve">1.25 kWh * 0.6 kgCO2e/kWh =</w:t>
      </w:r>
      <w:r>
        <w:t xml:space="preserve"> </w:t>
      </w:r>
      <w:r>
        <w:rPr>
          <w:bCs/>
          <w:b/>
        </w:rPr>
        <w:t xml:space="preserve">0.75 kgCO2e</w:t>
      </w:r>
    </w:p>
    <w:bookmarkEnd w:id="36"/>
    <w:bookmarkStart w:id="39" w:name="scope-3-emissions-value-chain-emissions"/>
    <w:p>
      <w:pPr>
        <w:pStyle w:val="Heading3"/>
      </w:pPr>
      <w:r>
        <w:t xml:space="preserve">4.3. Scope 3 Emissions (Value Chain Emissions)</w:t>
      </w:r>
    </w:p>
    <w:p>
      <w:pPr>
        <w:pStyle w:val="FirstParagraph"/>
      </w:pPr>
      <w:r>
        <w:t xml:space="preserve">Scope 3 emissions are calculated across upstream and downstream activities of the product\'s value chain. This analysis aims for a 95% coverage, reflecting the ambition of the 2026 GHG Protocol Scope 3 revisions.</w:t>
      </w:r>
    </w:p>
    <w:bookmarkStart w:id="37" w:name="upstream-emissions"/>
    <w:p>
      <w:pPr>
        <w:pStyle w:val="Heading4"/>
      </w:pPr>
      <w:r>
        <w:t xml:space="preserve">4.3.1. Upstream Emissions</w:t>
      </w:r>
    </w:p>
    <w:p>
      <w:pPr>
        <w:numPr>
          <w:ilvl w:val="0"/>
          <w:numId w:val="1007"/>
        </w:numPr>
        <w:pStyle w:val="Compact"/>
      </w:pPr>
      <w:r>
        <w:rPr>
          <w:bCs/>
          <w:b/>
        </w:rPr>
        <w:t xml:space="preserve">Materials (Category 1 - Purchased Goods &amp; Services):</w:t>
      </w:r>
    </w:p>
    <w:p>
      <w:pPr>
        <w:numPr>
          <w:ilvl w:val="0"/>
          <w:numId w:val="1007"/>
        </w:numPr>
        <w:pStyle w:val="Compact"/>
      </w:pPr>
      <w:r>
        <w:t xml:space="preserve">Total Material Carbon from BOM:</w:t>
      </w:r>
      <w:r>
        <w:t xml:space="preserve"> </w:t>
      </w:r>
      <w:r>
        <w:rPr>
          <w:bCs/>
          <w:b/>
        </w:rPr>
        <w:t xml:space="preserve">3.245 kgCO2e</w:t>
      </w:r>
    </w:p>
    <w:p>
      <w:pPr>
        <w:numPr>
          <w:ilvl w:val="0"/>
          <w:numId w:val="1007"/>
        </w:numPr>
        <w:pStyle w:val="Compact"/>
      </w:pPr>
      <w:r>
        <w:rPr>
          <w:bCs/>
          <w:b/>
        </w:rPr>
        <w:t xml:space="preserve">Manufacturing Process (Category 1 - Capital Goods / Fuel- and energy-related activities not included in Scope 1 or 2):</w:t>
      </w:r>
    </w:p>
    <w:p>
      <w:pPr>
        <w:numPr>
          <w:ilvl w:val="0"/>
          <w:numId w:val="1007"/>
        </w:numPr>
        <w:pStyle w:val="Compact"/>
      </w:pPr>
      <w:r>
        <w:t xml:space="preserve">No separate significant process emissions beyond electricity are identified from parameters. These are implicitly covered in material EFs or Scope 2.</w:t>
      </w:r>
    </w:p>
    <w:bookmarkEnd w:id="37"/>
    <w:bookmarkStart w:id="38" w:name="downstream-emissions"/>
    <w:p>
      <w:pPr>
        <w:pStyle w:val="Heading4"/>
      </w:pPr>
      <w:r>
        <w:t xml:space="preserve">4.3.2. Downstream Emissions</w:t>
      </w:r>
    </w:p>
    <w:p>
      <w:pPr>
        <w:numPr>
          <w:ilvl w:val="0"/>
          <w:numId w:val="1008"/>
        </w:numPr>
        <w:pStyle w:val="Compact"/>
      </w:pPr>
      <w:r>
        <w:rPr>
          <w:bCs/>
          <w:b/>
        </w:rPr>
        <w:t xml:space="preserve">Transport and Distribution (Category 4 - Upstream Transportation and Distribution &amp; Category 9 - Downstream Transportation and Distribution):</w:t>
      </w:r>
    </w:p>
    <w:p>
      <w:pPr>
        <w:numPr>
          <w:ilvl w:val="0"/>
          <w:numId w:val="1008"/>
        </w:numPr>
        <w:pStyle w:val="Compact"/>
      </w:pPr>
      <w:r>
        <w:t xml:space="preserve">Product Weight: 0.4 kg = 0.0004 tonnes</w:t>
      </w:r>
    </w:p>
    <w:p>
      <w:pPr>
        <w:numPr>
          <w:ilvl w:val="0"/>
          <w:numId w:val="1008"/>
        </w:numPr>
        <w:pStyle w:val="Compact"/>
      </w:pPr>
      <w:r>
        <w:t xml:space="preserve">Ocean Freight: 0.0004 tonnes * 15,000 km * 0.016 kgCO2e/tonne-km = 0.096 kgCO2e</w:t>
      </w:r>
    </w:p>
    <w:p>
      <w:pPr>
        <w:numPr>
          <w:ilvl w:val="0"/>
          <w:numId w:val="1008"/>
        </w:numPr>
        <w:pStyle w:val="Compact"/>
      </w:pPr>
      <w:r>
        <w:t xml:space="preserve">Road Freight (Europe): 0.0004 tonnes * 500 km * 0.09 kgCO2e/tonne-km = 0.018 kgCO2e</w:t>
      </w:r>
    </w:p>
    <w:p>
      <w:pPr>
        <w:numPr>
          <w:ilvl w:val="0"/>
          <w:numId w:val="1008"/>
        </w:numPr>
        <w:pStyle w:val="Compact"/>
      </w:pPr>
      <w:r>
        <w:t xml:space="preserve">Last-Mile Delivery (Van): 0.0004 tonnes * 100 km * 0.2 kgCO2e/tonne-km = 0.008 kgCO2e</w:t>
      </w:r>
    </w:p>
    <w:p>
      <w:pPr>
        <w:numPr>
          <w:ilvl w:val="0"/>
          <w:numId w:val="1008"/>
        </w:numPr>
        <w:pStyle w:val="Compact"/>
      </w:pPr>
      <w:r>
        <w:rPr>
          <w:bCs/>
          <w:b/>
        </w:rPr>
        <w:t xml:space="preserve">Total Transport Emissions:</w:t>
      </w:r>
      <w:r>
        <w:t xml:space="preserve"> </w:t>
      </w:r>
      <w:r>
        <w:t xml:space="preserve">0.096 + 0.018 + 0.008 =</w:t>
      </w:r>
      <w:r>
        <w:t xml:space="preserve"> </w:t>
      </w:r>
      <w:r>
        <w:rPr>
          <w:bCs/>
          <w:b/>
        </w:rPr>
        <w:t xml:space="preserve">0.122 kgCO2e</w:t>
      </w:r>
    </w:p>
    <w:p>
      <w:pPr>
        <w:numPr>
          <w:ilvl w:val="0"/>
          <w:numId w:val="1008"/>
        </w:numPr>
        <w:pStyle w:val="Compact"/>
      </w:pPr>
      <w:r>
        <w:rPr>
          <w:bCs/>
          <w:b/>
        </w:rPr>
        <w:t xml:space="preserve">Use Phase (Category 11 - Use of Sold Products):</w:t>
      </w:r>
    </w:p>
    <w:p>
      <w:pPr>
        <w:numPr>
          <w:ilvl w:val="0"/>
          <w:numId w:val="1008"/>
        </w:numPr>
        <w:pStyle w:val="Compact"/>
      </w:pPr>
      <w:r>
        <w:t xml:space="preserve">Energy Consumption: 10 kWh/year * 5 years = 50 kWh</w:t>
      </w:r>
    </w:p>
    <w:p>
      <w:pPr>
        <w:numPr>
          <w:ilvl w:val="0"/>
          <w:numId w:val="1008"/>
        </w:numPr>
        <w:pStyle w:val="Compact"/>
      </w:pPr>
      <w:r>
        <w:t xml:space="preserve">Europe Electricity Emission Factor: 0.25 kgCO2e/kWh</w:t>
      </w:r>
    </w:p>
    <w:p>
      <w:pPr>
        <w:numPr>
          <w:ilvl w:val="0"/>
          <w:numId w:val="1008"/>
        </w:numPr>
        <w:pStyle w:val="Compact"/>
      </w:pPr>
      <w:r>
        <w:rPr>
          <w:bCs/>
          <w:b/>
        </w:rPr>
        <w:t xml:space="preserve">Total Use Phase Emissions:</w:t>
      </w:r>
      <w:r>
        <w:t xml:space="preserve"> </w:t>
      </w:r>
      <w:r>
        <w:t xml:space="preserve">50 kWh * 0.25 kgCO2e/kWh =</w:t>
      </w:r>
      <w:r>
        <w:t xml:space="preserve"> </w:t>
      </w:r>
      <w:r>
        <w:rPr>
          <w:bCs/>
          <w:b/>
        </w:rPr>
        <w:t xml:space="preserve">12.50 kgCO2e</w:t>
      </w:r>
    </w:p>
    <w:p>
      <w:pPr>
        <w:numPr>
          <w:ilvl w:val="0"/>
          <w:numId w:val="1008"/>
        </w:numPr>
        <w:pStyle w:val="Compact"/>
      </w:pPr>
      <w:r>
        <w:rPr>
          <w:bCs/>
          <w:b/>
        </w:rPr>
        <w:t xml:space="preserve">End-of-Life Treatment (Category 12 - End-of-Life Treatment of Sold Products):</w:t>
      </w:r>
    </w:p>
    <w:p>
      <w:pPr>
        <w:numPr>
          <w:ilvl w:val="0"/>
          <w:numId w:val="1008"/>
        </w:numPr>
        <w:pStyle w:val="Compact"/>
      </w:pPr>
      <w:r>
        <w:t xml:space="preserve">Product Weight (components): 0.38 kg</w:t>
      </w:r>
    </w:p>
    <w:p>
      <w:pPr>
        <w:numPr>
          <w:ilvl w:val="0"/>
          <w:numId w:val="1008"/>
        </w:numPr>
        <w:pStyle w:val="Compact"/>
      </w:pPr>
      <w:r>
        <w:t xml:space="preserve">Recycled Portion: 0.38 kg * 0.80 = 0.304 kg</w:t>
      </w:r>
    </w:p>
    <w:p>
      <w:pPr>
        <w:numPr>
          <w:ilvl w:val="0"/>
          <w:numId w:val="1008"/>
        </w:numPr>
        <w:pStyle w:val="Compact"/>
      </w:pPr>
      <w:r>
        <w:t xml:space="preserve">Disposed Portion: 0.38 kg * (1 - 0.80) = 0.076 kg</w:t>
      </w:r>
    </w:p>
    <w:p>
      <w:pPr>
        <w:numPr>
          <w:ilvl w:val="0"/>
          <w:numId w:val="1008"/>
        </w:numPr>
        <w:pStyle w:val="Compact"/>
      </w:pPr>
      <w:r>
        <w:t xml:space="preserve">Emissions from Disposal: 0.076 kg * 0.5 kgCO2e/kg = 0.038 kgCO2e</w:t>
      </w:r>
    </w:p>
    <w:p>
      <w:pPr>
        <w:numPr>
          <w:ilvl w:val="0"/>
          <w:numId w:val="1008"/>
        </w:numPr>
        <w:pStyle w:val="Compact"/>
      </w:pPr>
      <w:r>
        <w:t xml:space="preserve">Avoided Emissions from Recycling: 0.304 kg * -2.0 kgCO2e/kg = -0.608 kgCO2e</w:t>
      </w:r>
    </w:p>
    <w:p>
      <w:pPr>
        <w:numPr>
          <w:ilvl w:val="0"/>
          <w:numId w:val="1008"/>
        </w:numPr>
        <w:pStyle w:val="Compact"/>
      </w:pPr>
      <w:r>
        <w:rPr>
          <w:bCs/>
          <w:b/>
        </w:rPr>
        <w:t xml:space="preserve">Net End-of-Life Emissions:</w:t>
      </w:r>
      <w:r>
        <w:t xml:space="preserve"> </w:t>
      </w:r>
      <w:r>
        <w:t xml:space="preserve">0.038 - 0.608 =</w:t>
      </w:r>
      <w:r>
        <w:t xml:space="preserve"> </w:t>
      </w:r>
      <w:r>
        <w:rPr>
          <w:bCs/>
          <w:b/>
        </w:rPr>
        <w:t xml:space="preserve">-0.57 kgCO2e</w:t>
      </w:r>
      <w:r>
        <w:t xml:space="preserve"> </w:t>
      </w:r>
      <w:r>
        <w:t xml:space="preserve">(a net saving due to high recyclability)</w:t>
      </w:r>
    </w:p>
    <w:bookmarkEnd w:id="38"/>
    <w:bookmarkEnd w:id="39"/>
    <w:bookmarkStart w:id="40" w:name="X3b38a38435201401ed2c84937a4ba00d75d49cf"/>
    <w:p>
      <w:pPr>
        <w:pStyle w:val="Heading3"/>
      </w:pPr>
      <w:r>
        <w:t xml:space="preserve">4.4. Summary of GHG Emissions by Scope and Lifecycle Stage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Lifecycle Stage</w:t>
            </w:r>
          </w:p>
        </w:tc>
        <w:tc>
          <w:tcPr/>
          <w:p>
            <w:pPr>
              <w:pStyle w:val="Compact"/>
              <w:jc w:val="left"/>
            </w:pPr>
            <w:r>
              <w:t xml:space="preserve">Calculated Emissions (kgCO2e per functional unit)</w:t>
            </w:r>
          </w:p>
        </w:tc>
      </w:tr>
      <w:tr>
        <w:tc>
          <w:tcPr/>
          <w:p>
            <w:pPr>
              <w:pStyle w:val="Compact"/>
              <w:jc w:val="left"/>
            </w:pPr>
            <w:r>
              <w:t xml:space="preserve">Scope 1</w:t>
            </w:r>
          </w:p>
        </w:tc>
        <w:tc>
          <w:tcPr/>
          <w:p>
            <w:pPr>
              <w:pStyle w:val="Compact"/>
              <w:jc w:val="left"/>
            </w:pPr>
            <w:r>
              <w:t xml:space="preserve">Direct Emissions (Manufacturing)</w:t>
            </w:r>
          </w:p>
        </w:tc>
        <w:tc>
          <w:tcPr/>
          <w:p>
            <w:pPr>
              <w:pStyle w:val="Compact"/>
              <w:jc w:val="left"/>
            </w:pPr>
            <w:r>
              <w:t xml:space="preserve">0.000 (assumed negligible)</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0.750</w:t>
            </w:r>
          </w:p>
        </w:tc>
      </w:tr>
      <w:tr>
        <w:tc>
          <w:tcPr>
            <w:vMerge w:val="restart"/>
          </w:tcPr>
          <w:p>
            <w:pPr>
              <w:pStyle w:val="Compact"/>
              <w:jc w:val="left"/>
            </w:pPr>
            <w:r>
              <w:t xml:space="preserve">Scope 3</w:t>
            </w:r>
          </w:p>
        </w:tc>
        <w:tc>
          <w:tcPr/>
          <w:p>
            <w:pPr>
              <w:pStyle w:val="Compact"/>
              <w:jc w:val="left"/>
            </w:pPr>
            <w:r>
              <w:t xml:space="preserve">Materials (Upstream - Category 1)</w:t>
            </w:r>
          </w:p>
        </w:tc>
        <w:tc>
          <w:tcPr/>
          <w:p>
            <w:pPr>
              <w:pStyle w:val="Compact"/>
              <w:jc w:val="left"/>
            </w:pPr>
            <w:r>
              <w:t xml:space="preserve">3.245</w:t>
            </w:r>
          </w:p>
        </w:tc>
      </w:tr>
      <w:tr>
        <w:tc>
          <w:tcPr>
            <w:gridSpan w:val="1"/>
            <w:vMerge w:val="continue"/>
          </w:tcPr>
          <w:p>
            <w:pPr/>
          </w:p>
        </w:tc>
        <w:tc>
          <w:tcPr/>
          <w:p>
            <w:pPr>
              <w:pStyle w:val="Compact"/>
              <w:jc w:val="left"/>
            </w:pPr>
            <w:r>
              <w:t xml:space="preserve">Transport (Downstream - Category 4 &amp; 9)</w:t>
            </w:r>
          </w:p>
        </w:tc>
        <w:tc>
          <w:tcPr/>
          <w:p>
            <w:pPr>
              <w:pStyle w:val="Compact"/>
              <w:jc w:val="left"/>
            </w:pPr>
            <w:r>
              <w:t xml:space="preserve">0.122</w:t>
            </w:r>
          </w:p>
        </w:tc>
      </w:tr>
      <w:tr>
        <w:tc>
          <w:tcPr>
            <w:gridSpan w:val="1"/>
            <w:vMerge w:val="continue"/>
          </w:tcPr>
          <w:p>
            <w:pPr/>
          </w:p>
        </w:tc>
        <w:tc>
          <w:tcPr/>
          <w:p>
            <w:pPr>
              <w:pStyle w:val="Compact"/>
              <w:jc w:val="left"/>
            </w:pPr>
            <w:r>
              <w:t xml:space="preserve">Use Phase (Downstream - Category 11)</w:t>
            </w:r>
          </w:p>
        </w:tc>
        <w:tc>
          <w:tcPr/>
          <w:p>
            <w:pPr>
              <w:pStyle w:val="Compact"/>
              <w:jc w:val="left"/>
            </w:pPr>
            <w:r>
              <w:t xml:space="preserve">12.500</w:t>
            </w:r>
          </w:p>
        </w:tc>
      </w:tr>
      <w:tr>
        <w:tc>
          <w:tcPr>
            <w:gridSpan w:val="1"/>
            <w:vMerge w:val="continue"/>
          </w:tcPr>
          <w:p>
            <w:pPr/>
          </w:p>
        </w:tc>
        <w:tc>
          <w:tcPr/>
          <w:p>
            <w:pPr>
              <w:pStyle w:val="Compact"/>
              <w:jc w:val="left"/>
            </w:pPr>
            <w:r>
              <w:t xml:space="preserve">End-of-Life (Downstream - Category 12)</w:t>
            </w:r>
          </w:p>
        </w:tc>
        <w:tc>
          <w:tcPr/>
          <w:p>
            <w:pPr>
              <w:pStyle w:val="Compact"/>
              <w:jc w:val="left"/>
            </w:pPr>
            <w:r>
              <w:t xml:space="preserve">-0.570</w:t>
            </w:r>
          </w:p>
        </w:tc>
      </w:tr>
      <w:tr>
        <w:tc>
          <w:tcPr>
            <w:gridSpan w:val="2"/>
          </w:tcPr>
          <w:p>
            <w:pPr>
              <w:pStyle w:val="Compact"/>
              <w:jc w:val="right"/>
            </w:pPr>
            <w:r>
              <w:rPr>
                <w:bCs/>
                <w:b/>
              </w:rPr>
              <w:t xml:space="preserve">Total Product Carbon Footprint:</w:t>
            </w:r>
          </w:p>
        </w:tc>
        <w:tc>
          <w:tcPr/>
          <w:p>
            <w:pPr>
              <w:pStyle w:val="Compact"/>
              <w:jc w:val="left"/>
            </w:pPr>
            <w:r>
              <w:rPr>
                <w:bCs/>
                <w:b/>
              </w:rPr>
              <w:t xml:space="preserve">16.047 kgCO2e</w:t>
            </w:r>
          </w:p>
        </w:tc>
      </w:tr>
    </w:tbl>
    <w:bookmarkEnd w:id="40"/>
    <w:bookmarkStart w:id="41" w:name="X5a4f551c90074bc557f30e0af419a5f70a48401"/>
    <w:p>
      <w:pPr>
        <w:pStyle w:val="Heading3"/>
      </w:pPr>
      <w:r>
        <w:t xml:space="preserve">4.5. 2026 Land Sector and Removals (LSR) Standard Application</w:t>
      </w:r>
    </w:p>
    <w:p>
      <w:pPr>
        <w:pStyle w:val="FirstParagraph"/>
      </w:pPr>
      <w:r>
        <w:t xml:space="preserve">The GHG Protocol\'s new Land Sector and Removals (LSR) Standard, effective January 1, 2027, provides comprehensive guidance for quantifying land emissions, CO2 removals, and biogenic products. While specific land-use data related to the raw materials\' origins were not provided for this analysis, pswhsjvuio is committed to incorporating the LSR Standard\'s requirements in future, more detailed supply chain assessments. This will enhance the accounting of land management, land-use change, and potential CO2 removals within the value chain, particularly for agricultural or bio-based components if applicable to grjjzlypyz\'s future iterations.</w:t>
      </w:r>
    </w:p>
    <w:bookmarkEnd w:id="41"/>
    <w:bookmarkStart w:id="42" w:name="scope-3-compliance-95-coverage"/>
    <w:p>
      <w:pPr>
        <w:pStyle w:val="Heading3"/>
      </w:pPr>
      <w:r>
        <w:t xml:space="preserve">4.6. Scope 3 Compliance (95% Coverage)</w:t>
      </w:r>
    </w:p>
    <w:p>
      <w:pPr>
        <w:pStyle w:val="FirstParagraph"/>
      </w:pPr>
      <w:r>
        <w:t xml:space="preserve">In anticipation of the GHG Protocol\'s 2026 revisions, this analysis has prioritized achieving at least 95% coverage for required Scope 3 emissions (Categories 1-15). By utilizing detailed BOM data, specific logistics parameters, and robust use-phase/EoL scenarios, the report aims to capture the vast majority of value chain impacts. Any potential exclusions (e.g., minor office operations emissions not directly tied to product manufacturing) are considered immaterial to the overall product footprint and are intended to remain within the allowable 5% threshold. This approach ensures a credible and comprehensive representation of the product\'s environmental impact.</w:t>
      </w:r>
    </w:p>
    <w:p>
      <w:r>
        <w:pict>
          <v:rect style="width:0;height:1.5pt" o:hralign="center" o:hrstd="t" o:hr="t"/>
        </w:pict>
      </w:r>
    </w:p>
    <w:bookmarkEnd w:id="42"/>
    <w:bookmarkEnd w:id="43"/>
    <w:bookmarkStart w:id="46" w:name="review-report---hotspots-and-reliability"/>
    <w:p>
      <w:pPr>
        <w:pStyle w:val="Heading2"/>
      </w:pPr>
      <w:r>
        <w:t xml:space="preserve">5. Review &amp; Report - Hotspots and Reliability</w:t>
      </w:r>
    </w:p>
    <w:p>
      <w:pPr>
        <w:pStyle w:val="FirstParagraph"/>
      </w:pPr>
      <w:r>
        <w:t xml:space="preserve">The Product Carbon Footprint for one unit of grjjzlypyz (Smart Home Hub) is calculated to be</w:t>
      </w:r>
      <w:r>
        <w:t xml:space="preserve"> </w:t>
      </w:r>
      <w:r>
        <w:rPr>
          <w:bCs/>
          <w:b/>
        </w:rPr>
        <w:t xml:space="preserve">16.047 kgCO2e</w:t>
      </w:r>
      <w:r>
        <w:t xml:space="preserve">.</w:t>
      </w:r>
    </w:p>
    <w:bookmarkStart w:id="44" w:name="emission-hotspots"/>
    <w:p>
      <w:pPr>
        <w:pStyle w:val="Heading3"/>
      </w:pPr>
      <w:r>
        <w:t xml:space="preserve">5.1. Emission Hotspots</w:t>
      </w:r>
    </w:p>
    <w:p>
      <w:pPr>
        <w:pStyle w:val="FirstParagraph"/>
      </w:pPr>
      <w:r>
        <w:t xml:space="preserve">The analysis reveals the following major emission hotspots:</w:t>
      </w:r>
    </w:p>
    <w:p>
      <w:pPr>
        <w:numPr>
          <w:ilvl w:val="0"/>
          <w:numId w:val="1009"/>
        </w:numPr>
        <w:pStyle w:val="Compact"/>
      </w:pPr>
      <w:r>
        <w:rPr>
          <w:bCs/>
          <w:b/>
        </w:rPr>
        <w:t xml:space="preserve">Use Phase (12.50 kgCO2e / 77.9% of total):</w:t>
      </w:r>
      <w:r>
        <w:t xml:space="preserve"> </w:t>
      </w:r>
      <w:r>
        <w:t xml:space="preserve">This is by far the largest contributor to the PCF. The electricity consumption during the product\'s 5-year lifespan in Europe dominates the footprint. This highlights the importance of energy efficiency in product design and the decarbonization of electricity grids in the market region.</w:t>
      </w:r>
    </w:p>
    <w:p>
      <w:pPr>
        <w:numPr>
          <w:ilvl w:val="0"/>
          <w:numId w:val="1009"/>
        </w:numPr>
        <w:pStyle w:val="Compact"/>
      </w:pPr>
      <w:r>
        <w:rPr>
          <w:bCs/>
          <w:b/>
        </w:rPr>
        <w:t xml:space="preserve">Materials (3.245 kgCO2e / 20.2% of total):</w:t>
      </w:r>
      <w:r>
        <w:t xml:space="preserve"> </w:t>
      </w:r>
      <w:r>
        <w:t xml:space="preserve">The embodied emissions in raw materials, particularly the aluminum casing and PCBA, represent the second most significant impact. Focusing on sourcing lower-carbon materials, increasing recycled content, and optimizing material use can lead to substantial reductions.</w:t>
      </w:r>
    </w:p>
    <w:p>
      <w:pPr>
        <w:numPr>
          <w:ilvl w:val="0"/>
          <w:numId w:val="1009"/>
        </w:numPr>
        <w:pStyle w:val="Compact"/>
      </w:pPr>
      <w:r>
        <w:rPr>
          <w:bCs/>
          <w:b/>
        </w:rPr>
        <w:t xml:space="preserve">Manufacturing (Scope 2: 0.750 kgCO2e / 4.7% of total):</w:t>
      </w:r>
      <w:r>
        <w:t xml:space="preserve"> </w:t>
      </w:r>
      <w:r>
        <w:t xml:space="preserve">While the company utilizes 75% renewable energy, the remaining grid electricity still contributes to the footprint. Further increasing renewable energy sourcing or improving energy efficiency in production processes can reduce this.</w:t>
      </w:r>
    </w:p>
    <w:p>
      <w:pPr>
        <w:numPr>
          <w:ilvl w:val="0"/>
          <w:numId w:val="1009"/>
        </w:numPr>
        <w:pStyle w:val="Compact"/>
      </w:pPr>
      <w:r>
        <w:rPr>
          <w:bCs/>
          <w:b/>
        </w:rPr>
        <w:t xml:space="preserve">End-of-Life (-0.570 kgCO2e / -3.5% of total):</w:t>
      </w:r>
      <w:r>
        <w:t xml:space="preserve"> </w:t>
      </w:r>
      <w:r>
        <w:t xml:space="preserve">The high recyclability and the presence of a take-back program result in net avoided emissions at the end of the product\'s life. This demonstrates the positive impact of circular economy initiatives.</w:t>
      </w:r>
    </w:p>
    <w:p>
      <w:pPr>
        <w:numPr>
          <w:ilvl w:val="0"/>
          <w:numId w:val="1009"/>
        </w:numPr>
        <w:pStyle w:val="Compact"/>
      </w:pPr>
      <w:r>
        <w:rPr>
          <w:bCs/>
          <w:b/>
        </w:rPr>
        <w:t xml:space="preserve">Transport (0.122 kgCO2e / 0.8% of total):</w:t>
      </w:r>
      <w:r>
        <w:t xml:space="preserve"> </w:t>
      </w:r>
      <w:r>
        <w:t xml:space="preserve">Transport emissions, while not the largest hotspot, are present across ocean and road freight, including last-mile delivery. Optimizing logistics, utilizing lower-emission transport modes, and maximizing load efficiency can further reduce these emissions.</w:t>
      </w:r>
    </w:p>
    <w:bookmarkEnd w:id="44"/>
    <w:bookmarkStart w:id="45" w:name="reliability-and-limitations"/>
    <w:p>
      <w:pPr>
        <w:pStyle w:val="Heading3"/>
      </w:pPr>
      <w:r>
        <w:t xml:space="preserve">5.2. Reliability and Limitations</w:t>
      </w:r>
    </w:p>
    <w:p>
      <w:pPr>
        <w:pStyle w:val="FirstParagraph"/>
      </w:pPr>
      <w:r>
        <w:t xml:space="preserve">This report is based on a combination of provided primary data (BOM, energy usage, lifespan, recyclability) and secondary, industry-average emission factors (electricity grids, transport modes, waste treatment). While diligent efforts have been made to use representative factors (e.g., from Ecoinvent/DEFRA equivalents), the accuracy of the PCF is dependent on the quality and specificity of the underlying data. Actual emissions may vary due to specific supplier data, real-time energy mixes, fluctuating transport efficiencies, and precise end-of-life routes. The illustrative emission factors used for EoL scenarios (disposal, avoided recycling) represent general impacts and would ideally be refined with material-specific and region-specific data in a more advanced analysis.</w:t>
      </w:r>
    </w:p>
    <w:p>
      <w:pPr>
        <w:pStyle w:val="BodyText"/>
      </w:pPr>
      <w:r>
        <w:t xml:space="preserve">The interpretation of the "factory_gate" system boundary alongside cradle-to-grave requirements was addressed by defining the primary production boundary at factory gate but extending the analysis to full lifecycle as per instructions for Use Phase and EoL to provide a comprehensive PCF. Future analyses could benefit from more granular data on Scope 1 emissions (if any significant direct emissions exist), specific material sourcing locations for inbound transport, and verified regional EoL infrastructure details.</w:t>
      </w:r>
    </w:p>
    <w:p>
      <w:r>
        <w:pict>
          <v:rect style="width:0;height:1.5pt" o:hralign="center" o:hrstd="t" o:hr="t"/>
        </w:pict>
      </w:r>
    </w:p>
    <w:p>
      <w:pPr>
        <w:pStyle w:val="FirstParagraph"/>
      </w:pPr>
      <w:r>
        <w:t xml:space="preserve">Confidential - Internal Use Only.</w:t>
      </w:r>
    </w:p>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Smart Home Hub (grjjzlypyz)</dc:title>
  <dc:creator/>
  <dc:description>Detailed Product Carbon Footprint (PCF) analysis for grjjzlypyz (Smart Home Hub) by hyztnpgrqt, Senior Sustainability Consultant at pswhsjvuio, adhering to GHG Protocol and 2026 updates.</dc:description>
  <dc:language>en</dc:language>
  <cp:keywords/>
  <dcterms:created xsi:type="dcterms:W3CDTF">2026-05-30T23:13:33Z</dcterms:created>
  <dcterms:modified xsi:type="dcterms:W3CDTF">2026-05-30T23:13:33Z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