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(gdkzkgziod)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gdkzkgziod (Smart Home Hub)</w:t>
      </w:r>
    </w:p>
    <w:p>
      <w:pPr>
        <w:pStyle w:val="BodyText"/>
      </w:pPr>
      <w:r>
        <w:t xml:space="preserve">Company: xozvgvqnmm</w:t>
      </w:r>
    </w:p>
    <w:p>
      <w:pPr>
        <w:pStyle w:val="BodyText"/>
      </w:pPr>
      <w:r>
        <w:t xml:space="preserve">Senior Sustainability Consultant: wfdfiugyek</w:t>
      </w:r>
    </w:p>
    <w:p>
      <w:pPr>
        <w:pStyle w:val="BodyText"/>
      </w:pPr>
      <w:r>
        <w:t xml:space="preserve">Accounting Standard: GHG Protocol</w:t>
      </w:r>
    </w:p>
    <w:p>
      <w:pPr>
        <w:pStyle w:val="BodyText"/>
      </w:pPr>
      <w:r>
        <w:t xml:space="preserve">Disclaimer: This report is generated based on available data, industry standards, and the specific parameters provided. Emission factors and assumptions are illustrative for demonstrating methodology and are subject to change with more precise primary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gdkzkgziod (referred to as "Smart Home Hub") manufactured by xozvgvqnmm. Conducted by wfdfiugyek, Senior Sustainability Consultant, this analysis adheres to the Greenhouse Gas (GHG) Protocol standards, including the latest 2026 Land Sector and Removals (LSR) update considerations and enhanced Scope 3 compliance requirements. The primary objective is to quantify the total greenhouse gas emissions (in CO2e) associated with the product\'s lifecycle, from raw material extraction through manufacturing, transport, use, and end-of-life.</w:t>
      </w:r>
    </w:p>
    <w:p>
      <w:pPr>
        <w:pStyle w:val="BodyText"/>
      </w:pPr>
      <w:r>
        <w:t xml:space="preserve">The total Product Carbon Footprint for one functional unit of the Smart Home Hub is estimated to be **18.74 kg CO2e**. The analysis reveals that the \'Use Phase\' is the most significant contributor to the overall footprint, primarily due to energy consumption over the product\'s lifespan. Significant efforts in improving energy efficiency during the use phase and enhancing circularity at end-of-life could substantially reduce the product\'s environmental impact.</w:t>
      </w:r>
    </w:p>
    <w:p>
      <w:r>
        <w:pict>
          <v:rect style="width:0;height:1.5pt" o:hralign="center" o:hrstd="t" o:hr="t"/>
        </w:pict>
      </w:r>
    </w:p>
    <w:bookmarkEnd w:id="22"/>
    <w:bookmarkStart w:id="26" w:name="methodology-and-scope-definition"/>
    <w:p>
      <w:pPr>
        <w:pStyle w:val="Heading2"/>
      </w:pPr>
      <w:r>
        <w:t xml:space="preserve">1. Methodology and Scope Definition</w:t>
      </w:r>
    </w:p>
    <w:p>
      <w:pPr>
        <w:pStyle w:val="FirstParagraph"/>
      </w:pPr>
      <w:r>
        <w:t xml:space="preserve">The Product Carbon Footprint (PCF) analysis follows a structured methodology consistent with the GHG Protocol Product Life Cycle Accounting and Reporting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gdkzkgziod (Smart Home Hub).</w:t>
      </w:r>
    </w:p>
    <w:p>
      <w:pPr>
        <w:numPr>
          <w:ilvl w:val="0"/>
          <w:numId w:val="1001"/>
        </w:numPr>
        <w:pStyle w:val="Compact"/>
      </w:pPr>
      <w:r>
        <w:rPr>
          <w:bCs/>
          <w:b/>
        </w:rPr>
        <w:t xml:space="preserve">System Boundary:</w:t>
      </w:r>
      <w:r>
        <w:t xml:space="preserve"> </w:t>
      </w:r>
      <w:r>
        <w:t xml:space="preserve">Cradle-to-grave approach, encompassing all stages from raw material acquisition, manufacturing, transport, product use, to end-of-life. While the primary production boundary is \'factory_gate\', downstream emissions from use and end-of-life are included as per the detailed parameter requirements.</w:t>
      </w:r>
    </w:p>
    <w:p>
      <w:pPr>
        <w:numPr>
          <w:ilvl w:val="0"/>
          <w:numId w:val="1001"/>
        </w:numPr>
        <w:pStyle w:val="Compact"/>
      </w:pPr>
      <w:r>
        <w:rPr>
          <w:bCs/>
          <w:b/>
        </w:rPr>
        <w:t xml:space="preserve">Geographic Scope:</w:t>
      </w:r>
      <w:r>
        <w:t xml:space="preserve"> </w:t>
      </w:r>
      <w:r>
        <w:t xml:space="preserve">Final Production Country: China, with a Supply Chain Focus on Europe for upstream materials and downstream distribution to Europe.</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Direct allocation is applied where specific data is available. For shared processes (e.g., transport), emissions are allocated based on mass-distance.</w:t>
      </w:r>
    </w:p>
    <w:bookmarkEnd w:id="23"/>
    <w:bookmarkStart w:id="24" w:name="Xca1c2c6e6ff7eeefaf193f72ffcf8ae7efd00a3"/>
    <w:p>
      <w:pPr>
        <w:pStyle w:val="Heading3"/>
      </w:pPr>
      <w:r>
        <w:t xml:space="preserve">1.2. Land Sector and Removals (LSR) Standard Update (2026)</w:t>
      </w:r>
    </w:p>
    <w:p>
      <w:pPr>
        <w:pStyle w:val="FirstParagraph"/>
      </w:pPr>
      <w:r>
        <w:t xml:space="preserve">The GHG Protocol\'s Land Sector and Removals (LSR) Standard, released on January 30, 2026, and effective January 1, 2027, provides new guidance for quantifying and reporting land emissions, CO2 removals, and technological CO2 removals. For the Smart Home Hub, direct land-use change or significant biogenic emissions from its components are not explicitly provided in the Bill of Materials. However, the principles of accounting for removals are incorporated into the End-of-Life phase by crediting recycled materials, thereby reflecting circular economy impacts and avoided virgin material production. Should the raw material supply chain involve significant land-sector activities, further detailed analysis under the LSR Standard would be recommended.</w:t>
      </w:r>
    </w:p>
    <w:bookmarkEnd w:id="24"/>
    <w:bookmarkStart w:id="25" w:name="scope-3-compliance-2026-requirements"/>
    <w:p>
      <w:pPr>
        <w:pStyle w:val="Heading3"/>
      </w:pPr>
      <w:r>
        <w:t xml:space="preserve">1.3. Scope 3 Compliance (2026 Requirements)</w:t>
      </w:r>
    </w:p>
    <w:p>
      <w:pPr>
        <w:pStyle w:val="FirstParagraph"/>
      </w:pPr>
      <w:r>
        <w:t xml:space="preserve">As per the proposed 2026 revisions to the GHG Protocol Scope 3 Standard, a minimum of 95% coverage for all relevant Scope 3 emissions is required for conformance. This analysis aims for comprehensive coverage across all upstream and downstream Scope 3 categories to meet this stringent requirement, including purchased goods and services, transportation, use of sold products, and end-of-life treatment of sold products.</w:t>
      </w:r>
    </w:p>
    <w:p>
      <w:r>
        <w:pict>
          <v:rect style="width:0;height:1.5pt" o:hralign="center" o:hrstd="t" o:hr="t"/>
        </w:pict>
      </w:r>
    </w:p>
    <w:bookmarkEnd w:id="25"/>
    <w:bookmarkEnd w:id="26"/>
    <w:bookmarkStart w:id="35" w:name="X2bf58de29a7a901ba932b9a6a779f7f86e80a1b"/>
    <w:p>
      <w:pPr>
        <w:pStyle w:val="Heading2"/>
      </w:pPr>
      <w:r>
        <w:t xml:space="preserve">2. Lifecycle Mapping and Data Collection (LCI Inventory)</w:t>
      </w:r>
    </w:p>
    <w:p>
      <w:pPr>
        <w:pStyle w:val="FirstParagraph"/>
      </w:pPr>
      <w:r>
        <w:t xml:space="preserve">The product lifecycle of the gdkzkgziod (Smart Home Hub) is mapped into five key stages:</w:t>
      </w:r>
    </w:p>
    <w:p>
      <w:pPr>
        <w:numPr>
          <w:ilvl w:val="0"/>
          <w:numId w:val="1002"/>
        </w:numPr>
        <w:pStyle w:val="Compact"/>
      </w:pPr>
      <w:r>
        <w:t xml:space="preserve">Raw Material Acquisition &amp; Pre-processing</w:t>
      </w:r>
    </w:p>
    <w:p>
      <w:pPr>
        <w:numPr>
          <w:ilvl w:val="0"/>
          <w:numId w:val="1002"/>
        </w:numPr>
        <w:pStyle w:val="Compact"/>
      </w:pPr>
      <w:r>
        <w:t xml:space="preserve">Manufacturing/Production</w:t>
      </w:r>
    </w:p>
    <w:p>
      <w:pPr>
        <w:numPr>
          <w:ilvl w:val="0"/>
          <w:numId w:val="1002"/>
        </w:numPr>
        <w:pStyle w:val="Compact"/>
      </w:pPr>
      <w:r>
        <w:t xml:space="preserve">Transport (Inbound and Outbound)</w:t>
      </w:r>
    </w:p>
    <w:p>
      <w:pPr>
        <w:numPr>
          <w:ilvl w:val="0"/>
          <w:numId w:val="1002"/>
        </w:numPr>
        <w:pStyle w:val="Compact"/>
      </w:pPr>
      <w:r>
        <w:t xml:space="preserve">Use Phase</w:t>
      </w:r>
    </w:p>
    <w:p>
      <w:pPr>
        <w:numPr>
          <w:ilvl w:val="0"/>
          <w:numId w:val="1002"/>
        </w:numPr>
        <w:pStyle w:val="Compact"/>
      </w:pPr>
      <w:r>
        <w:t xml:space="preserve">End-of-Life</w:t>
      </w:r>
    </w:p>
    <w:bookmarkStart w:id="28" w:name="Xff31e690bfe279af69cf88b9219fe5d56042afb"/>
    <w:p>
      <w:pPr>
        <w:pStyle w:val="Heading3"/>
      </w:pPr>
      <w:r>
        <w:t xml:space="preserve">2.1. Raw Material Acquisition &amp; Pre-processing (Scope 3 - Upstream)</w:t>
      </w:r>
    </w:p>
    <w:p>
      <w:pPr>
        <w:pStyle w:val="FirstParagraph"/>
      </w:pPr>
      <w:r>
        <w:t xml:space="preserve">Emissions from this stage are derived directly from the provided Detailed Bill of Materials (BOM) for each component.</w:t>
      </w:r>
    </w:p>
    <w:bookmarkStart w:id="27" w:name="X1e75751109e44232bd9dc6fa1f9678f70b1b86e"/>
    <w:p>
      <w:pPr>
        <w:pStyle w:val="Heading4"/>
      </w:pPr>
      <w:r>
        <w:t xml:space="preserve">Detailed Bill of Materials (BOM) for gdkzkgziod (Smart Home Hub):</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w:t>
            </w:r>
          </w:p>
        </w:tc>
        <w:tc>
          <w:tcPr/>
          <w:p>
            <w:pPr>
              <w:pStyle w:val="Compact"/>
              <w:jc w:val="left"/>
            </w:pPr>
            <w:r>
              <w:t xml:space="preserve">0.03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rPr>
                <w:bCs/>
                <w:b/>
              </w:rPr>
              <w:t xml:space="preserve">Total Raw Material Emissions</w:t>
            </w:r>
          </w:p>
        </w:tc>
        <w:tc>
          <w:tcPr/>
          <w:p>
            <w:pPr>
              <w:pStyle w:val="Compact"/>
              <w:jc w:val="left"/>
            </w:pPr>
            <w:r>
              <w:rPr>
                <w:bCs/>
                <w:b/>
              </w:rPr>
              <w:t xml:space="preserve">1.45 kg CO2e</w:t>
            </w:r>
          </w:p>
        </w:tc>
      </w:tr>
    </w:tbl>
    <w:bookmarkEnd w:id="27"/>
    <w:bookmarkEnd w:id="28"/>
    <w:bookmarkStart w:id="29" w:name="manufacturingproduction-scope-2"/>
    <w:p>
      <w:pPr>
        <w:pStyle w:val="Heading3"/>
      </w:pPr>
      <w:r>
        <w:t xml:space="preserve">2.2. Manufacturing/Production (Scope 2)</w:t>
      </w:r>
    </w:p>
    <w:p>
      <w:pPr>
        <w:pStyle w:val="FirstParagraph"/>
      </w:pPr>
      <w:r>
        <w:t xml:space="preserve">This stage accounts for the energy consumed in the factory during the production of one unit.</w:t>
      </w:r>
    </w:p>
    <w:p>
      <w:pPr>
        <w:numPr>
          <w:ilvl w:val="0"/>
          <w:numId w:val="1003"/>
        </w:numPr>
        <w:pStyle w:val="Compact"/>
      </w:pPr>
      <w:r>
        <w:rPr>
          <w:bCs/>
          <w:b/>
        </w:rPr>
        <w:t xml:space="preserve">Energy Intensity (kWh/unit):</w:t>
      </w:r>
      <w:r>
        <w:t xml:space="preserve"> </w:t>
      </w:r>
      <w:r>
        <w:t xml:space="preserve">fttmququgk (Assumed: 5 kWh/unit)</w:t>
      </w:r>
    </w:p>
    <w:p>
      <w:pPr>
        <w:numPr>
          <w:ilvl w:val="0"/>
          <w:numId w:val="1003"/>
        </w:numPr>
        <w:pStyle w:val="Compact"/>
      </w:pPr>
      <w:r>
        <w:rPr>
          <w:bCs/>
          <w:b/>
        </w:rPr>
        <w:t xml:space="preserve">Renewable Energy Usage:</w:t>
      </w:r>
      <w:r>
        <w:t xml:space="preserve"> </w:t>
      </w:r>
      <w:r>
        <w:t xml:space="preserve">zvhukkvovz (Assumed: 30%)</w:t>
      </w:r>
    </w:p>
    <w:p>
      <w:pPr>
        <w:numPr>
          <w:ilvl w:val="0"/>
          <w:numId w:val="1003"/>
        </w:numPr>
        <w:pStyle w:val="Compact"/>
      </w:pPr>
      <w:r>
        <w:rPr>
          <w:bCs/>
          <w:b/>
        </w:rPr>
        <w:t xml:space="preserve">Non-renewable energy:</w:t>
      </w:r>
      <w:r>
        <w:t xml:space="preserve"> </w:t>
      </w:r>
      <w:r>
        <w:t xml:space="preserve">5 kWh * (1 - 0.30) = 3.5 kWh</w:t>
      </w:r>
    </w:p>
    <w:p>
      <w:pPr>
        <w:numPr>
          <w:ilvl w:val="0"/>
          <w:numId w:val="1003"/>
        </w:numPr>
        <w:pStyle w:val="Compact"/>
      </w:pPr>
      <w:r>
        <w:rPr>
          <w:bCs/>
          <w:b/>
        </w:rPr>
        <w:t xml:space="preserve">Electricity Emission Factor (China Grid Mix):</w:t>
      </w:r>
      <w:r>
        <w:t xml:space="preserve"> </w:t>
      </w:r>
      <w:r>
        <w:t xml:space="preserve">0.6 kg CO2e/kWh (Illustrative, based on industry averages)</w:t>
      </w:r>
    </w:p>
    <w:bookmarkEnd w:id="29"/>
    <w:bookmarkStart w:id="31" w:name="transport-scope-3---upstream-downstream"/>
    <w:p>
      <w:pPr>
        <w:pStyle w:val="Heading3"/>
      </w:pPr>
      <w:r>
        <w:t xml:space="preserve">2.3. Transport (Scope 3 - Upstream &amp; Downstream)</w:t>
      </w:r>
    </w:p>
    <w:p>
      <w:pPr>
        <w:pStyle w:val="FirstParagraph"/>
      </w:pPr>
      <w:r>
        <w:t xml:space="preserve">Logistics data is incorporated for both inbound raw materials to the China-based factory and outbound distribution to Europe, including last-mile delivery.</w:t>
      </w:r>
    </w:p>
    <w:p>
      <w:pPr>
        <w:numPr>
          <w:ilvl w:val="0"/>
          <w:numId w:val="1004"/>
        </w:numPr>
        <w:pStyle w:val="Compact"/>
      </w:pPr>
      <w:r>
        <w:rPr>
          <w:bCs/>
          <w:b/>
        </w:rPr>
        <w:t xml:space="preserve">Transport Mode:</w:t>
      </w:r>
      <w:r>
        <w:t xml:space="preserve"> </w:t>
      </w:r>
      <w:r>
        <w:t xml:space="preserve">Select Mode (Assumed: Ocean Freight, Road Freight (HGV), Small Parcel Courier Van)</w:t>
      </w:r>
    </w:p>
    <w:p>
      <w:pPr>
        <w:numPr>
          <w:ilvl w:val="0"/>
          <w:numId w:val="1004"/>
        </w:numPr>
        <w:pStyle w:val="Compact"/>
      </w:pPr>
      <w:r>
        <w:rPr>
          <w:bCs/>
          <w:b/>
        </w:rPr>
        <w:t xml:space="preserve">Transport Distance (yjqguudpjr):</w:t>
      </w:r>
      <w:r>
        <w:t xml:space="preserve"> </w:t>
      </w:r>
      <w:r>
        <w:t xml:space="preserve">Assumed 5,000 km (Inbound Ocean), 15,000 km (Outbound Ocean), 500 km (Outbound Road), 50 km (Last-Mile)</w:t>
      </w:r>
    </w:p>
    <w:p>
      <w:pPr>
        <w:numPr>
          <w:ilvl w:val="0"/>
          <w:numId w:val="1004"/>
        </w:numPr>
        <w:pStyle w:val="Compact"/>
      </w:pPr>
      <w:r>
        <w:rPr>
          <w:bCs/>
          <w:b/>
        </w:rPr>
        <w:t xml:space="preserve">Last-Mile Delivery Channel:</w:t>
      </w:r>
      <w:r>
        <w:t xml:space="preserve"> </w:t>
      </w:r>
      <w:r>
        <w:t xml:space="preserve">Delivery Type (Assumed: Small Parcel Courier Van)</w:t>
      </w:r>
    </w:p>
    <w:p>
      <w:pPr>
        <w:numPr>
          <w:ilvl w:val="0"/>
          <w:numId w:val="1004"/>
        </w:numPr>
        <w:pStyle w:val="Compact"/>
      </w:pPr>
      <w:r>
        <w:rPr>
          <w:bCs/>
          <w:b/>
        </w:rPr>
        <w:t xml:space="preserve">Average Product Weight for Transport (including packaging):</w:t>
      </w:r>
      <w:r>
        <w:t xml:space="preserve"> </w:t>
      </w:r>
      <w:r>
        <w:t xml:space="preserve">0.48 kg (0.38 kg product + 0.1 kg packaging) ≈ 0.5 kg for calculation ease.</w:t>
      </w:r>
    </w:p>
    <w:bookmarkStart w:id="30" w:name="X4125a3c60eea2ed23b17027cc1123ce6a741b48"/>
    <w:p>
      <w:pPr>
        <w:pStyle w:val="Heading4"/>
      </w:pPr>
      <w:r>
        <w:t xml:space="preserve">Emission Factors for Transport (Illustrative, based on Ecoinvent/DEFRA equivalents):</w:t>
      </w:r>
    </w:p>
    <w:p>
      <w:pPr>
        <w:numPr>
          <w:ilvl w:val="0"/>
          <w:numId w:val="1005"/>
        </w:numPr>
        <w:pStyle w:val="Compact"/>
      </w:pPr>
      <w:r>
        <w:t xml:space="preserve">Ocean Freight (Container ship): 0.01 kg CO2e/tonne-km</w:t>
      </w:r>
    </w:p>
    <w:p>
      <w:pPr>
        <w:numPr>
          <w:ilvl w:val="0"/>
          <w:numId w:val="1005"/>
        </w:numPr>
        <w:pStyle w:val="Compact"/>
      </w:pPr>
      <w:r>
        <w:t xml:space="preserve">Road Freight (HGV, &gt;16t): 0.09 kg CO2e/tonne-km</w:t>
      </w:r>
    </w:p>
    <w:p>
      <w:pPr>
        <w:numPr>
          <w:ilvl w:val="0"/>
          <w:numId w:val="1005"/>
        </w:numPr>
        <w:pStyle w:val="Compact"/>
      </w:pPr>
      <w:r>
        <w:t xml:space="preserve">Small Parcel Courier Van (per unit, simplified for last-mile): 0.2 kg CO2e/unit (This factor is applied directly per unit for last-mile, accounting for vehicle emissions shared by packages)</w:t>
      </w:r>
    </w:p>
    <w:bookmarkEnd w:id="30"/>
    <w:bookmarkEnd w:id="31"/>
    <w:bookmarkStart w:id="32" w:name="use-phase-scope-3---downstream"/>
    <w:p>
      <w:pPr>
        <w:pStyle w:val="Heading3"/>
      </w:pPr>
      <w:r>
        <w:t xml:space="preserve">2.4. Use Phase (Scope 3 - Downstream)</w:t>
      </w:r>
    </w:p>
    <w:p>
      <w:pPr>
        <w:pStyle w:val="FirstParagraph"/>
      </w:pPr>
      <w:r>
        <w:t xml:space="preserve">Emissions from the product\'s energy consumption during its active lifespan.</w:t>
      </w:r>
    </w:p>
    <w:p>
      <w:pPr>
        <w:numPr>
          <w:ilvl w:val="0"/>
          <w:numId w:val="1006"/>
        </w:numPr>
        <w:pStyle w:val="Compact"/>
      </w:pPr>
      <w:r>
        <w:rPr>
          <w:bCs/>
          <w:b/>
        </w:rPr>
        <w:t xml:space="preserve">Product Lifespan (ukgsdfrrmw):</w:t>
      </w:r>
      <w:r>
        <w:t xml:space="preserve"> </w:t>
      </w:r>
      <w:r>
        <w:t xml:space="preserve">Assumed: 5 years</w:t>
      </w:r>
    </w:p>
    <w:p>
      <w:pPr>
        <w:numPr>
          <w:ilvl w:val="0"/>
          <w:numId w:val="1006"/>
        </w:numPr>
        <w:pStyle w:val="Compact"/>
      </w:pPr>
      <w:r>
        <w:rPr>
          <w:bCs/>
          <w:b/>
        </w:rPr>
        <w:t xml:space="preserve">Energy Consumption in Use (ssedsynyid):</w:t>
      </w:r>
      <w:r>
        <w:t xml:space="preserve"> </w:t>
      </w:r>
      <w:r>
        <w:t xml:space="preserve">Assumed: 10 kWh/year</w:t>
      </w:r>
    </w:p>
    <w:p>
      <w:pPr>
        <w:numPr>
          <w:ilvl w:val="0"/>
          <w:numId w:val="1006"/>
        </w:numPr>
        <w:pStyle w:val="Compact"/>
      </w:pPr>
      <w:r>
        <w:rPr>
          <w:bCs/>
          <w:b/>
        </w:rPr>
        <w:t xml:space="preserve">Electricity Emission Factor (European Average Grid Mix for Consumer Use):</w:t>
      </w:r>
      <w:r>
        <w:t xml:space="preserve"> </w:t>
      </w:r>
      <w:r>
        <w:t xml:space="preserve">0.3 kg CO2e/kWh (Illustrative, based on industry averages)</w:t>
      </w:r>
    </w:p>
    <w:bookmarkEnd w:id="32"/>
    <w:bookmarkStart w:id="34" w:name="end-of-life-eol-scope-3---downstream"/>
    <w:p>
      <w:pPr>
        <w:pStyle w:val="Heading3"/>
      </w:pPr>
      <w:r>
        <w:t xml:space="preserve">2.5. End-of-Life (EoL) (Scope 3 - Downstream)</w:t>
      </w:r>
    </w:p>
    <w:p>
      <w:pPr>
        <w:pStyle w:val="FirstParagraph"/>
      </w:pPr>
      <w:r>
        <w:t xml:space="preserve">Emissions and potential avoided emissions (credits) from the disposal and recycling of the product.</w:t>
      </w:r>
    </w:p>
    <w:p>
      <w:pPr>
        <w:numPr>
          <w:ilvl w:val="0"/>
          <w:numId w:val="1007"/>
        </w:numPr>
        <w:pStyle w:val="Compact"/>
      </w:pPr>
      <w:r>
        <w:rPr>
          <w:bCs/>
          <w:b/>
        </w:rPr>
        <w:t xml:space="preserve">Recyclability Percentage (felphlltzw):</w:t>
      </w:r>
      <w:r>
        <w:t xml:space="preserve"> </w:t>
      </w:r>
      <w:r>
        <w:t xml:space="preserve">Assumed: 70%</w:t>
      </w:r>
    </w:p>
    <w:p>
      <w:pPr>
        <w:numPr>
          <w:ilvl w:val="0"/>
          <w:numId w:val="1007"/>
        </w:numPr>
        <w:pStyle w:val="Compact"/>
      </w:pPr>
      <w:r>
        <w:rPr>
          <w:bCs/>
          <w:b/>
        </w:rPr>
        <w:t xml:space="preserve">Circular/Take-back Programs (uowjjsoplv):</w:t>
      </w:r>
      <w:r>
        <w:t xml:space="preserve"> </w:t>
      </w:r>
      <w:r>
        <w:t xml:space="preserve">Yes, active take-back program for electronics.</w:t>
      </w:r>
    </w:p>
    <w:p>
      <w:pPr>
        <w:numPr>
          <w:ilvl w:val="0"/>
          <w:numId w:val="1007"/>
        </w:numPr>
        <w:pStyle w:val="Compact"/>
      </w:pPr>
      <w:r>
        <w:rPr>
          <w:bCs/>
          <w:b/>
        </w:rPr>
        <w:t xml:space="preserve">Product Weight (total):</w:t>
      </w:r>
      <w:r>
        <w:t xml:space="preserve"> </w:t>
      </w:r>
      <w:r>
        <w:t xml:space="preserve">0.38 kg</w:t>
      </w:r>
    </w:p>
    <w:bookmarkStart w:id="33" w:name="X73160e7e5ab796a3ee5aa6c489ae4ba1c130c50"/>
    <w:p>
      <w:pPr>
        <w:pStyle w:val="Heading4"/>
      </w:pPr>
      <w:r>
        <w:t xml:space="preserve">Emission Factors for End-of-Life (Illustrative, based on Ecoinvent/DEFRA equivalents):</w:t>
      </w:r>
    </w:p>
    <w:p>
      <w:pPr>
        <w:numPr>
          <w:ilvl w:val="0"/>
          <w:numId w:val="1008"/>
        </w:numPr>
        <w:pStyle w:val="Compact"/>
      </w:pPr>
      <w:r>
        <w:t xml:space="preserve">Landfill Emission Factor (general waste): 0.1 kg CO2e/kg of waste (for disposed portion)</w:t>
      </w:r>
    </w:p>
    <w:p>
      <w:pPr>
        <w:numPr>
          <w:ilvl w:val="0"/>
          <w:numId w:val="1008"/>
        </w:numPr>
        <w:pStyle w:val="Compact"/>
      </w:pPr>
      <w:r>
        <w:t xml:space="preserve">Recycling Credit (avoided virgin material production, average for electronics/plastics): -0.5 kg CO2e/kg (for recycled portion) (This is an assumed credit reflecting the benefits of circularity)</w:t>
      </w:r>
    </w:p>
    <w:p>
      <w:r>
        <w:pict>
          <v:rect style="width:0;height:1.5pt" o:hralign="center" o:hrstd="t" o:hr="t"/>
        </w:pict>
      </w:r>
    </w:p>
    <w:bookmarkEnd w:id="33"/>
    <w:bookmarkEnd w:id="34"/>
    <w:bookmarkEnd w:id="35"/>
    <w:bookmarkStart w:id="41" w:name="X2c62247db19834934c44c209ad423fe06ba5c64"/>
    <w:p>
      <w:pPr>
        <w:pStyle w:val="Heading2"/>
      </w:pPr>
      <w:r>
        <w:t xml:space="preserve">3. Calculation of Emissions (Activity * Emission Factor = CO2e)</w:t>
      </w:r>
    </w:p>
    <w:p>
      <w:pPr>
        <w:pStyle w:val="FirstParagraph"/>
      </w:pPr>
      <w:r>
        <w:t xml:space="preserve">The total Product Carbon Footprint (PCF) is the sum of emissions across all lifecycle stages.</w:t>
      </w:r>
    </w:p>
    <w:bookmarkStart w:id="36" w:name="X1aa35bfde10275177e7615bdc609047556eddcf"/>
    <w:p>
      <w:pPr>
        <w:pStyle w:val="Heading3"/>
      </w:pPr>
      <w:r>
        <w:t xml:space="preserve">3.1. Raw Material Acquisition &amp; Pre-processing (Scope 3 - Upstream)</w:t>
      </w:r>
    </w:p>
    <w:p>
      <w:pPr>
        <w:pStyle w:val="FirstParagraph"/>
      </w:pPr>
      <w:r>
        <w:t xml:space="preserve">Total Carbon from BOM: 1.45 kg CO2e</w:t>
      </w:r>
    </w:p>
    <w:bookmarkEnd w:id="36"/>
    <w:bookmarkStart w:id="37" w:name="manufacturingproduction-scope-2-1"/>
    <w:p>
      <w:pPr>
        <w:pStyle w:val="Heading3"/>
      </w:pPr>
      <w:r>
        <w:t xml:space="preserve">3.2. Manufacturing/Production (Scope 2)</w:t>
      </w:r>
    </w:p>
    <w:p>
      <w:pPr>
        <w:numPr>
          <w:ilvl w:val="0"/>
          <w:numId w:val="1009"/>
        </w:numPr>
        <w:pStyle w:val="Compact"/>
      </w:pPr>
      <w:r>
        <w:t xml:space="preserve">Non-renewable energy consumption: 3.5 kWh/unit</w:t>
      </w:r>
    </w:p>
    <w:p>
      <w:pPr>
        <w:numPr>
          <w:ilvl w:val="0"/>
          <w:numId w:val="1009"/>
        </w:numPr>
        <w:pStyle w:val="Compact"/>
      </w:pPr>
      <w:r>
        <w:t xml:space="preserve">Emissions from non-renewable energy: 3.5 kWh/unit * 0.6 kg CO2e/kWh = 2.10 kg CO2e</w:t>
      </w:r>
    </w:p>
    <w:p>
      <w:pPr>
        <w:numPr>
          <w:ilvl w:val="0"/>
          <w:numId w:val="1009"/>
        </w:numPr>
        <w:pStyle w:val="Compact"/>
      </w:pPr>
      <w:r>
        <w:t xml:space="preserve">Emissions from renewable energy: 0 kg CO2e (assuming certified renewable energy)</w:t>
      </w:r>
    </w:p>
    <w:p>
      <w:pPr>
        <w:numPr>
          <w:ilvl w:val="0"/>
          <w:numId w:val="1009"/>
        </w:numPr>
        <w:pStyle w:val="Compact"/>
      </w:pPr>
      <w:r>
        <w:rPr>
          <w:bCs/>
          <w:b/>
        </w:rPr>
        <w:t xml:space="preserve">Total Manufacturing Emissions: 2.10 kg CO2e</w:t>
      </w:r>
    </w:p>
    <w:bookmarkEnd w:id="37"/>
    <w:bookmarkStart w:id="38" w:name="X7a22b29e66bc9b448d643a0de4df2cb965e474c"/>
    <w:p>
      <w:pPr>
        <w:pStyle w:val="Heading3"/>
      </w:pPr>
      <w:r>
        <w:t xml:space="preserve">3.3. Transport (Scope 3 - Upstream &amp; Downstream)</w:t>
      </w:r>
    </w:p>
    <w:p>
      <w:pPr>
        <w:numPr>
          <w:ilvl w:val="0"/>
          <w:numId w:val="1010"/>
        </w:numPr>
        <w:pStyle w:val="Compact"/>
      </w:pPr>
      <w:r>
        <w:rPr>
          <w:bCs/>
          <w:b/>
        </w:rPr>
        <w:t xml:space="preserve">Inbound Transport of Raw Materials (Europe to China):</w:t>
      </w:r>
    </w:p>
    <w:p>
      <w:pPr>
        <w:numPr>
          <w:ilvl w:val="1"/>
          <w:numId w:val="1011"/>
        </w:numPr>
        <w:pStyle w:val="Compact"/>
      </w:pPr>
      <w:r>
        <w:t xml:space="preserve">Distance: 5,000 km (Ocean Freight)</w:t>
      </w:r>
    </w:p>
    <w:p>
      <w:pPr>
        <w:numPr>
          <w:ilvl w:val="1"/>
          <w:numId w:val="1011"/>
        </w:numPr>
        <w:pStyle w:val="Compact"/>
      </w:pPr>
      <w:r>
        <w:t xml:space="preserve">Weight of raw materials: 0.38 kg (0.00038 tonnes)</w:t>
      </w:r>
    </w:p>
    <w:p>
      <w:pPr>
        <w:numPr>
          <w:ilvl w:val="1"/>
          <w:numId w:val="1011"/>
        </w:numPr>
        <w:pStyle w:val="Compact"/>
      </w:pPr>
      <w:r>
        <w:t xml:space="preserve">Emissions: 5,000 km * 0.01 kg CO2e/tonne-km * 0.00038 tonnes = 0.019 kg CO2e</w:t>
      </w:r>
    </w:p>
    <w:p>
      <w:pPr>
        <w:numPr>
          <w:ilvl w:val="0"/>
          <w:numId w:val="1010"/>
        </w:numPr>
        <w:pStyle w:val="Compact"/>
      </w:pPr>
      <w:r>
        <w:rPr>
          <w:bCs/>
          <w:b/>
        </w:rPr>
        <w:t xml:space="preserve">Outbound Transport (China to European Distribution Center):</w:t>
      </w:r>
    </w:p>
    <w:p>
      <w:pPr>
        <w:numPr>
          <w:ilvl w:val="1"/>
          <w:numId w:val="1012"/>
        </w:numPr>
        <w:pStyle w:val="Compact"/>
      </w:pPr>
      <w:r>
        <w:t xml:space="preserve">Distance: 15,000 km (Ocean Freight)</w:t>
      </w:r>
    </w:p>
    <w:p>
      <w:pPr>
        <w:numPr>
          <w:ilvl w:val="1"/>
          <w:numId w:val="1012"/>
        </w:numPr>
        <w:pStyle w:val="Compact"/>
      </w:pPr>
      <w:r>
        <w:t xml:space="preserve">Product weight: 0.5 kg (0.0005 tonnes)</w:t>
      </w:r>
    </w:p>
    <w:p>
      <w:pPr>
        <w:numPr>
          <w:ilvl w:val="1"/>
          <w:numId w:val="1012"/>
        </w:numPr>
        <w:pStyle w:val="Compact"/>
      </w:pPr>
      <w:r>
        <w:t xml:space="preserve">Emissions: 15,000 km * 0.01 kg CO2e/tonne-km * 0.0005 tonnes = 0.075 kg CO2e</w:t>
      </w:r>
    </w:p>
    <w:p>
      <w:pPr>
        <w:numPr>
          <w:ilvl w:val="0"/>
          <w:numId w:val="1010"/>
        </w:numPr>
        <w:pStyle w:val="Compact"/>
      </w:pPr>
      <w:r>
        <w:rPr>
          <w:bCs/>
          <w:b/>
        </w:rPr>
        <w:t xml:space="preserve">Outbound Transport (European Distribution to Local Hub):</w:t>
      </w:r>
    </w:p>
    <w:p>
      <w:pPr>
        <w:numPr>
          <w:ilvl w:val="1"/>
          <w:numId w:val="1013"/>
        </w:numPr>
        <w:pStyle w:val="Compact"/>
      </w:pPr>
      <w:r>
        <w:t xml:space="preserve">Distance: 500 km (Road Freight)</w:t>
      </w:r>
    </w:p>
    <w:p>
      <w:pPr>
        <w:numPr>
          <w:ilvl w:val="1"/>
          <w:numId w:val="1013"/>
        </w:numPr>
        <w:pStyle w:val="Compact"/>
      </w:pPr>
      <w:r>
        <w:t xml:space="preserve">Product weight: 0.5 kg (0.0005 tonnes)</w:t>
      </w:r>
    </w:p>
    <w:p>
      <w:pPr>
        <w:numPr>
          <w:ilvl w:val="1"/>
          <w:numId w:val="1013"/>
        </w:numPr>
        <w:pStyle w:val="Compact"/>
      </w:pPr>
      <w:r>
        <w:t xml:space="preserve">Emissions: 500 km * 0.09 kg CO2e/tonne-km * 0.0005 tonnes = 0.0225 kg CO2e</w:t>
      </w:r>
    </w:p>
    <w:p>
      <w:pPr>
        <w:numPr>
          <w:ilvl w:val="0"/>
          <w:numId w:val="1010"/>
        </w:numPr>
        <w:pStyle w:val="Compact"/>
      </w:pPr>
      <w:r>
        <w:rPr>
          <w:bCs/>
          <w:b/>
        </w:rPr>
        <w:t xml:space="preserve">Last-Mile Delivery (Small Parcel Courier Van):</w:t>
      </w:r>
    </w:p>
    <w:p>
      <w:pPr>
        <w:numPr>
          <w:ilvl w:val="1"/>
          <w:numId w:val="1014"/>
        </w:numPr>
        <w:pStyle w:val="Compact"/>
      </w:pPr>
      <w:r>
        <w:t xml:space="preserve">Emissions per unit: 0.2 kg CO2e/unit</w:t>
      </w:r>
    </w:p>
    <w:p>
      <w:pPr>
        <w:numPr>
          <w:ilvl w:val="0"/>
          <w:numId w:val="1010"/>
        </w:numPr>
        <w:pStyle w:val="Compact"/>
      </w:pPr>
      <w:r>
        <w:rPr>
          <w:bCs/>
          <w:b/>
        </w:rPr>
        <w:t xml:space="preserve">Total Transport Emissions: 0.019 + 0.075 + 0.0225 + 0.2 = 0.3165 kg CO2e</w:t>
      </w:r>
    </w:p>
    <w:bookmarkEnd w:id="38"/>
    <w:bookmarkStart w:id="39" w:name="use-phase-scope-3---downstream-1"/>
    <w:p>
      <w:pPr>
        <w:pStyle w:val="Heading3"/>
      </w:pPr>
      <w:r>
        <w:t xml:space="preserve">3.4. Use Phase (Scope 3 - Downstream)</w:t>
      </w:r>
    </w:p>
    <w:p>
      <w:pPr>
        <w:numPr>
          <w:ilvl w:val="0"/>
          <w:numId w:val="1015"/>
        </w:numPr>
        <w:pStyle w:val="Compact"/>
      </w:pPr>
      <w:r>
        <w:t xml:space="preserve">Total energy consumed over lifespan: 10 kWh/year * 5 years = 50 kWh</w:t>
      </w:r>
    </w:p>
    <w:p>
      <w:pPr>
        <w:numPr>
          <w:ilvl w:val="0"/>
          <w:numId w:val="1015"/>
        </w:numPr>
        <w:pStyle w:val="Compact"/>
      </w:pPr>
      <w:r>
        <w:t xml:space="preserve">Emissions: 50 kWh * 0.3 kg CO2e/kWh = 15.00 kg CO2e</w:t>
      </w:r>
    </w:p>
    <w:p>
      <w:pPr>
        <w:numPr>
          <w:ilvl w:val="0"/>
          <w:numId w:val="1015"/>
        </w:numPr>
        <w:pStyle w:val="Compact"/>
      </w:pPr>
      <w:r>
        <w:rPr>
          <w:bCs/>
          <w:b/>
        </w:rPr>
        <w:t xml:space="preserve">Total Use Phase Emissions: 15.00 kg CO2e</w:t>
      </w:r>
    </w:p>
    <w:bookmarkEnd w:id="39"/>
    <w:bookmarkStart w:id="40" w:name="end-of-life-eol-scope-3---downstream-1"/>
    <w:p>
      <w:pPr>
        <w:pStyle w:val="Heading3"/>
      </w:pPr>
      <w:r>
        <w:t xml:space="preserve">3.5. End-of-Life (EoL) (Scope 3 - Downstream)</w:t>
      </w:r>
    </w:p>
    <w:p>
      <w:pPr>
        <w:numPr>
          <w:ilvl w:val="0"/>
          <w:numId w:val="1016"/>
        </w:numPr>
        <w:pStyle w:val="Compact"/>
      </w:pPr>
      <w:r>
        <w:t xml:space="preserve">Portion disposed (100% - 70% recyclability): 30%</w:t>
      </w:r>
    </w:p>
    <w:p>
      <w:pPr>
        <w:numPr>
          <w:ilvl w:val="0"/>
          <w:numId w:val="1016"/>
        </w:numPr>
        <w:pStyle w:val="Compact"/>
      </w:pPr>
      <w:r>
        <w:t xml:space="preserve">Weight disposed: 0.38 kg * 0.30 = 0.114 kg</w:t>
      </w:r>
    </w:p>
    <w:p>
      <w:pPr>
        <w:numPr>
          <w:ilvl w:val="0"/>
          <w:numId w:val="1016"/>
        </w:numPr>
        <w:pStyle w:val="Compact"/>
      </w:pPr>
      <w:r>
        <w:t xml:space="preserve">Emissions from disposal: 0.114 kg * 0.1 kg CO2e/kg = 0.0114 kg CO2e</w:t>
      </w:r>
    </w:p>
    <w:p>
      <w:pPr>
        <w:numPr>
          <w:ilvl w:val="0"/>
          <w:numId w:val="1016"/>
        </w:numPr>
        <w:pStyle w:val="Compact"/>
      </w:pPr>
      <w:r>
        <w:t xml:space="preserve">Portion recycled: 70%</w:t>
      </w:r>
    </w:p>
    <w:p>
      <w:pPr>
        <w:numPr>
          <w:ilvl w:val="0"/>
          <w:numId w:val="1016"/>
        </w:numPr>
        <w:pStyle w:val="Compact"/>
      </w:pPr>
      <w:r>
        <w:t xml:space="preserve">Weight recycled: 0.38 kg * 0.70 = 0.266 kg</w:t>
      </w:r>
    </w:p>
    <w:p>
      <w:pPr>
        <w:numPr>
          <w:ilvl w:val="0"/>
          <w:numId w:val="1016"/>
        </w:numPr>
        <w:pStyle w:val="Compact"/>
      </w:pPr>
      <w:r>
        <w:t xml:space="preserve">Recycling credit (avoided virgin material): 0.266 kg * (-0.5 kg CO2e/kg) = -0.133 kg CO2e</w:t>
      </w:r>
    </w:p>
    <w:p>
      <w:pPr>
        <w:numPr>
          <w:ilvl w:val="0"/>
          <w:numId w:val="1016"/>
        </w:numPr>
        <w:pStyle w:val="Compact"/>
      </w:pPr>
      <w:r>
        <w:rPr>
          <w:bCs/>
          <w:b/>
        </w:rPr>
        <w:t xml:space="preserve">Net End-of-Life Emissions (including credits): 0.0114 - 0.133 = -0.1216 kg CO2e</w:t>
      </w:r>
    </w:p>
    <w:p>
      <w:r>
        <w:pict>
          <v:rect style="width:0;height:1.5pt" o:hralign="center" o:hrstd="t" o:hr="t"/>
        </w:pict>
      </w:r>
    </w:p>
    <w:bookmarkEnd w:id="40"/>
    <w:bookmarkEnd w:id="41"/>
    <w:bookmarkStart w:id="42" w:name="summary-of-product-carbon-footprint"/>
    <w:p>
      <w:pPr>
        <w:pStyle w:val="Heading2"/>
      </w:pPr>
      <w:r>
        <w:t xml:space="preserve">4. Summary of Product Carbon Footprint</w:t>
      </w:r>
    </w:p>
    <w:p>
      <w:pPr>
        <w:pStyle w:val="FirstParagraph"/>
      </w:pPr>
      <w:r>
        <w:t xml:space="preserve">The table below summarizes the calculated emissions for each lifecycle stage of one functional unit of the gdkzkgziod (Smart Home Hub).</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1.4500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2.1000</w:t>
            </w:r>
          </w:p>
        </w:tc>
      </w:tr>
      <w:tr>
        <w:tc>
          <w:tcPr/>
          <w:p>
            <w:pPr>
              <w:pStyle w:val="Compact"/>
              <w:jc w:val="left"/>
            </w:pPr>
            <w:r>
              <w:t xml:space="preserve">Transport (Inbound Raw Materials)</w:t>
            </w:r>
          </w:p>
        </w:tc>
        <w:tc>
          <w:tcPr/>
          <w:p>
            <w:pPr>
              <w:pStyle w:val="Compact"/>
              <w:jc w:val="left"/>
            </w:pPr>
            <w:r>
              <w:t xml:space="preserve">Scope 3 (Upstream)</w:t>
            </w:r>
          </w:p>
        </w:tc>
        <w:tc>
          <w:tcPr/>
          <w:p>
            <w:pPr>
              <w:pStyle w:val="Compact"/>
              <w:jc w:val="left"/>
            </w:pPr>
            <w:r>
              <w:t xml:space="preserve">0.0190</w:t>
            </w:r>
          </w:p>
        </w:tc>
      </w:tr>
      <w:tr>
        <w:tc>
          <w:tcPr/>
          <w:p>
            <w:pPr>
              <w:pStyle w:val="Compact"/>
              <w:jc w:val="left"/>
            </w:pPr>
            <w:r>
              <w:t xml:space="preserve">Transport (Outbound Distribution)</w:t>
            </w:r>
          </w:p>
        </w:tc>
        <w:tc>
          <w:tcPr/>
          <w:p>
            <w:pPr>
              <w:pStyle w:val="Compact"/>
              <w:jc w:val="left"/>
            </w:pPr>
            <w:r>
              <w:t xml:space="preserve">Scope 3 (Downstream)</w:t>
            </w:r>
          </w:p>
        </w:tc>
        <w:tc>
          <w:tcPr/>
          <w:p>
            <w:pPr>
              <w:pStyle w:val="Compact"/>
              <w:jc w:val="left"/>
            </w:pPr>
            <w:r>
              <w:t xml:space="preserve">0.0975</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0.2000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-0.1216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18.7449 kg CO2e</w:t>
            </w:r>
          </w:p>
        </w:tc>
      </w:tr>
    </w:tbl>
    <w:p>
      <w:r>
        <w:pict>
          <v:rect style="width:0;height:1.5pt" o:hralign="center" o:hrstd="t" o:hr="t"/>
        </w:pict>
      </w:r>
    </w:p>
    <w:bookmarkEnd w:id="42"/>
    <w:bookmarkStart w:id="45" w:name="review-reporting"/>
    <w:p>
      <w:pPr>
        <w:pStyle w:val="Heading2"/>
      </w:pPr>
      <w:r>
        <w:t xml:space="preserve">5. Review &amp; Reporting</w:t>
      </w:r>
    </w:p>
    <w:bookmarkStart w:id="43" w:name="hotspots-analysis"/>
    <w:p>
      <w:pPr>
        <w:pStyle w:val="Heading3"/>
      </w:pPr>
      <w:r>
        <w:t xml:space="preserve">5.1. Hotspots Analysis</w:t>
      </w:r>
    </w:p>
    <w:p>
      <w:pPr>
        <w:pStyle w:val="FirstParagraph"/>
      </w:pPr>
      <w:r>
        <w:t xml:space="preserve">The analysis identifies the following key emission hotspots:</w:t>
      </w:r>
    </w:p>
    <w:p>
      <w:pPr>
        <w:numPr>
          <w:ilvl w:val="0"/>
          <w:numId w:val="1017"/>
        </w:numPr>
        <w:pStyle w:val="Compact"/>
      </w:pPr>
      <w:r>
        <w:rPr>
          <w:bCs/>
          <w:b/>
        </w:rPr>
        <w:t xml:space="preserve">Use Phase (15.00 kg CO2e, ~80% of total):</w:t>
      </w:r>
      <w:r>
        <w:t xml:space="preserve"> </w:t>
      </w:r>
      <w:r>
        <w:t xml:space="preserve">The primary hotspot is the energy consumption during the product\'s 5-year lifespan. This highlights the critical importance of designing energy-efficient products and educating consumers on sustainable energy sourcing.</w:t>
      </w:r>
    </w:p>
    <w:p>
      <w:pPr>
        <w:numPr>
          <w:ilvl w:val="0"/>
          <w:numId w:val="1017"/>
        </w:numPr>
        <w:pStyle w:val="Compact"/>
      </w:pPr>
      <w:r>
        <w:rPr>
          <w:bCs/>
          <w:b/>
        </w:rPr>
        <w:t xml:space="preserve">Manufacturing/Production (2.10 kg CO2e, ~11% of total):</w:t>
      </w:r>
      <w:r>
        <w:t xml:space="preserve"> </w:t>
      </w:r>
      <w:r>
        <w:t xml:space="preserve">Emissions from purchased electricity in China contribute significantly, despite 30% renewable energy usage. Further increasing renewable energy adoption or sourcing cleaner grid electricity in China would be impactful.</w:t>
      </w:r>
    </w:p>
    <w:p>
      <w:pPr>
        <w:numPr>
          <w:ilvl w:val="0"/>
          <w:numId w:val="1017"/>
        </w:numPr>
        <w:pStyle w:val="Compact"/>
      </w:pPr>
      <w:r>
        <w:rPr>
          <w:bCs/>
          <w:b/>
        </w:rPr>
        <w:t xml:space="preserve">Raw Material Acquisition (1.45 kg CO2e, ~8% of total):</w:t>
      </w:r>
      <w:r>
        <w:t xml:space="preserve"> </w:t>
      </w:r>
      <w:r>
        <w:t xml:space="preserve">The materials used, particularly plastics and electronics, contribute a notable portion. Optimizing material selection, lightweighting, and increasing recycled content in components are key strategies.</w:t>
      </w:r>
    </w:p>
    <w:p>
      <w:pPr>
        <w:numPr>
          <w:ilvl w:val="0"/>
          <w:numId w:val="1017"/>
        </w:numPr>
        <w:pStyle w:val="Compact"/>
      </w:pPr>
      <w:r>
        <w:rPr>
          <w:bCs/>
          <w:b/>
        </w:rPr>
        <w:t xml:space="preserve">Transport (0.3165 kg CO2e, ~2% of total):</w:t>
      </w:r>
      <w:r>
        <w:t xml:space="preserve"> </w:t>
      </w:r>
      <w:r>
        <w:t xml:space="preserve">While less significant than use and production, inbound, outbound, and last-mile logistics still contribute. Optimizing routes, consolidating shipments, and shifting to lower-emission transport modes (e.g., rail over road where feasible) can offer reductions.</w:t>
      </w:r>
    </w:p>
    <w:p>
      <w:pPr>
        <w:numPr>
          <w:ilvl w:val="0"/>
          <w:numId w:val="1017"/>
        </w:numPr>
        <w:pStyle w:val="Compact"/>
      </w:pPr>
      <w:r>
        <w:rPr>
          <w:bCs/>
          <w:b/>
        </w:rPr>
        <w:t xml:space="preserve">End-of-Life (-0.1216 kg CO2e):</w:t>
      </w:r>
      <w:r>
        <w:t xml:space="preserve"> </w:t>
      </w:r>
      <w:r>
        <w:t xml:space="preserve">The active take-back program and high recyclability rate result in a net negative emission (a credit), demonstrating the positive impact of circular economy initiatives. Expanding these programs and improving recycling infrastructure can further enhance this benefit.</w:t>
      </w:r>
    </w:p>
    <w:bookmarkEnd w:id="43"/>
    <w:bookmarkStart w:id="44" w:name="reliability-and-limitations"/>
    <w:p>
      <w:pPr>
        <w:pStyle w:val="Heading3"/>
      </w:pPr>
      <w:r>
        <w:t xml:space="preserve">5.2. Reliability and Limitations</w:t>
      </w:r>
    </w:p>
    <w:p>
      <w:pPr>
        <w:pStyle w:val="FirstParagraph"/>
      </w:pPr>
      <w:r>
        <w:t xml:space="preserve">The calculations in this report are based on the provided parameters and illustrative emission factors from industry-standard databases like Ecoinvent and DEFRA equivalents. While efforts were made to use representative values, actual emissions may vary with specific supplier data (primary data), more precise transport routes, and up-to-date regional energy mixes. The End-of-Life recycling credit is an estimate for avoided virgin material production, and actual benefits depend on the efficiency and scope of recycling processes. This analysis provides a robust framework for understanding the PCF and identifying key areas for improvement.</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(gdkzkgziod)</dc:title>
  <dc:creator/>
  <dc:description>Detailed Product Carbon Footprint (PCF) analysis report for Smart Home Hub (gdkzkgziod) by wfdfiugyek for xozvgvqnmm, adhering to GHG Protocol and 2026 LSR Update requirements.</dc:description>
  <dc:language>en</dc:language>
  <cp:keywords/>
  <dcterms:created xsi:type="dcterms:W3CDTF">2026-05-30T22:18:41Z</dcterms:created>
  <dcterms:modified xsi:type="dcterms:W3CDTF">2026-05-30T22:18:41Z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