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r>
        <w:t xml:space="preserve"> </w:t>
      </w:r>
      <w:r>
        <w:t xml:space="preserve">(emqvtqdoud)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emqvtqdoud (Smart Home Hub)</w:t>
      </w:r>
    </w:p>
    <w:p>
      <w:pPr>
        <w:pStyle w:val="BodyText"/>
      </w:pPr>
      <w:r>
        <w:t xml:space="preserve">Company: xxjxggqlgy</w:t>
      </w:r>
    </w:p>
    <w:p>
      <w:pPr>
        <w:pStyle w:val="BodyText"/>
      </w:pPr>
      <w:r>
        <w:t xml:space="preserve">Protocol Data (Accounting Standard): GHG Protocol</w:t>
      </w:r>
    </w:p>
    <w:p>
      <w:pPr>
        <w:pStyle w:val="BodyText"/>
      </w:pPr>
      <w:r>
        <w:t xml:space="preserve">Senior Sustainability Consultant: ssusnomfnh</w:t>
      </w:r>
    </w:p>
    <w:p>
      <w:pPr>
        <w:pStyle w:val="BodyText"/>
      </w:pPr>
      <w:r>
        <w:t xml:space="preserve">This report is generated based on available data and industry standards. While efforts have been made to ensure accuracy, specific inputs for material quantities, transport distances, energy usage, and end-of-life scenarios are illustrative assumptions where placeholder data was provided.</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20, 2026</w:t>
      </w:r>
    </w:p>
    <w:p>
      <w:pPr>
        <w:pStyle w:val="BodyText"/>
      </w:pPr>
      <w:r>
        <w:t xml:space="preserve">For: xxjxggqlgy</w:t>
      </w:r>
    </w:p>
    <w:p>
      <w:pPr>
        <w:pStyle w:val="BodyText"/>
      </w:pPr>
      <w:r>
        <w:t xml:space="preserve">Prepared by: ssusnomfnh,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"emqvtqdoud," identified as a Smart Home Hub, manufactured by xxjxggqlgy. The analysis was conducted by ssusnomfnh, Senior Sustainability Consultant, adhering strictly to the GHG Protocol as the accounting standard. This assessment covers the product\'s lifecycle from raw material acquisition (\'cradle\') to the factory gate, including downstream phases such as transport, use, and end-of-life, with a focus on a European supply chain. The aim is to identify key emission hotspots and provide actionable insights for reducing the product\'s environmental impact. The analysis incorporates specific company parameters for bill of materials, transport, energy, lifespan, recyclability, and circular programs.</w:t>
      </w:r>
    </w:p>
    <w:p>
      <w:r>
        <w:pict>
          <v:rect style="width:0;height:1.5pt" o:hralign="center" o:hrstd="t" o:hr="t"/>
        </w:pict>
      </w:r>
    </w:p>
    <w:bookmarkEnd w:id="22"/>
    <w:bookmarkStart w:id="28" w:name="definition-of-scope"/>
    <w:p>
      <w:pPr>
        <w:pStyle w:val="Heading2"/>
      </w:pPr>
      <w:r>
        <w:t xml:space="preserve">1. Definition of Scope</w:t>
      </w:r>
    </w:p>
    <w:bookmarkStart w:id="23" w:name="functional-unit"/>
    <w:p>
      <w:pPr>
        <w:pStyle w:val="Heading3"/>
      </w:pPr>
      <w:r>
        <w:t xml:space="preserve">1.1. Functional Unit</w:t>
      </w:r>
    </w:p>
    <w:p>
      <w:pPr>
        <w:pStyle w:val="FirstParagraph"/>
      </w:pPr>
      <w:r>
        <w:t xml:space="preserve">The functional unit for this Product Carbon Footprint analysis is</w:t>
      </w:r>
      <w:r>
        <w:t xml:space="preserve"> </w:t>
      </w:r>
      <w:r>
        <w:rPr>
          <w:bCs/>
          <w:b/>
        </w:rPr>
        <w:t xml:space="preserve">1.0 unit of emqvtqdoud (Smart Home Hub)</w:t>
      </w:r>
      <w:r>
        <w:t xml:space="preserve">. This unit serves as the reference basis for quantifying all relevant inputs and outputs throughout the product\'s lifecycle.</w:t>
      </w:r>
    </w:p>
    <w:bookmarkEnd w:id="23"/>
    <w:bookmarkStart w:id="24" w:name="system-boundary"/>
    <w:p>
      <w:pPr>
        <w:pStyle w:val="Heading3"/>
      </w:pPr>
      <w:r>
        <w:t xml:space="preserve">1.2. System Boundary</w:t>
      </w:r>
    </w:p>
    <w:p>
      <w:pPr>
        <w:pStyle w:val="FirstParagraph"/>
      </w:pPr>
      <w:r>
        <w:t xml:space="preserve">The system boundary for this PCF is defined as</w:t>
      </w:r>
      <w:r>
        <w:t xml:space="preserve"> </w:t>
      </w:r>
      <w:r>
        <w:rPr>
          <w:bCs/>
          <w:b/>
        </w:rPr>
        <w:t xml:space="preserve">factory_gate</w:t>
      </w:r>
      <w:r>
        <w:t xml:space="preserve">, in accordance with the user\'s instructions. This means the primary inventory and calculation focuses on emissions up to the point the finished product leaves the manufacturing facility. However, to provide a comprehensive \'cradle-to-grave\' understanding, downstream lifecycle stages including distribution, use, and end-of-life are also evaluated and categorized under Scope 3, as per GHG Protocol requirements for comprehensive value chain analysis.</w:t>
      </w:r>
    </w:p>
    <w:bookmarkEnd w:id="24"/>
    <w:bookmarkStart w:id="25" w:name="geographic-scope"/>
    <w:p>
      <w:pPr>
        <w:pStyle w:val="Heading3"/>
      </w:pPr>
      <w:r>
        <w:t xml:space="preserve">1.3. Geographic Scope</w:t>
      </w:r>
    </w:p>
    <w:p>
      <w:pPr>
        <w:pStyle w:val="FirstParagraph"/>
      </w:pPr>
      <w:r>
        <w:t xml:space="preserve">The geographic scope for the final production country is</w:t>
      </w:r>
      <w:r>
        <w:t xml:space="preserve"> </w:t>
      </w:r>
      <w:r>
        <w:rPr>
          <w:bCs/>
          <w:b/>
        </w:rPr>
        <w:t xml:space="preserve">China</w:t>
      </w:r>
      <w:r>
        <w:t xml:space="preserve">, with a</w:t>
      </w:r>
      <w:r>
        <w:t xml:space="preserve"> </w:t>
      </w:r>
      <w:r>
        <w:rPr>
          <w:bCs/>
          <w:b/>
        </w:rPr>
        <w:t xml:space="preserve">Supply Chain Focus on Europe</w:t>
      </w:r>
      <w:r>
        <w:t xml:space="preserve">. This implies that manufacturing emissions are assessed based on the energy mix and operational practices in China, while downstream transport and use phase considerations predominantly reflect European conditions and regulations.</w:t>
      </w:r>
    </w:p>
    <w:bookmarkEnd w:id="25"/>
    <w:bookmarkStart w:id="26" w:name="allocation"/>
    <w:p>
      <w:pPr>
        <w:pStyle w:val="Heading3"/>
      </w:pPr>
      <w:r>
        <w:t xml:space="preserve">1.4. Allocation</w:t>
      </w:r>
    </w:p>
    <w:p>
      <w:pPr>
        <w:pStyle w:val="FirstParagraph"/>
      </w:pPr>
      <w:r>
        <w:t xml:space="preserve">Allocation of emissions is performed based on mass for material inputs. For processes involving co-products or waste, recognized GHG Protocol methodologies are applied to appropriately distribute environmental burdens. In the absence of specific co-product details, a direct allocation to the functional unit is assumed for all processes.</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w:t>
      </w:r>
      <w:r>
        <w:t xml:space="preserve">. Emissions are categorized into Scope 1 (direct emissions), Scope 2 (indirect emissions from purchased energy), and Scope 3 (all other indirect emissions in the value chain). Furthermore, the analysis considers the 2026 Land Sector and Removals (LSR) Standard update and aims for at least 95% coverage for Scope 3 reporting, as per 2026 requirements.</w:t>
      </w:r>
    </w:p>
    <w:p>
      <w:r>
        <w:pict>
          <v:rect style="width:0;height:1.5pt" o:hralign="center" o:hrstd="t" o:hr="t"/>
        </w:pict>
      </w:r>
    </w:p>
    <w:bookmarkEnd w:id="27"/>
    <w:bookmarkEnd w:id="28"/>
    <w:bookmarkStart w:id="34" w:name="X7236c81bf26e56038911d491b275039f579f731"/>
    <w:p>
      <w:pPr>
        <w:pStyle w:val="Heading2"/>
      </w:pPr>
      <w:r>
        <w:t xml:space="preserve">2. Mapping Lifecycle (LCI Inventory Stages) &amp; 3. Data Collection</w:t>
      </w:r>
    </w:p>
    <w:p>
      <w:pPr>
        <w:pStyle w:val="FirstParagraph"/>
      </w:pPr>
      <w:r>
        <w:t xml:space="preserve">This section details the inputs and processes across the product\'s lifecycle. Given the placeholder nature of some parameters, illustrative data, consistent with industry averages and the product type (Smart Home Hub), has been assumed for calculation purposes, as outlined below. Specific emission factors are derived from industry-standard databases such as Ecoinvent and DEFRA, where applicable.</w:t>
      </w:r>
    </w:p>
    <w:bookmarkStart w:id="29" w:name="X6147ecd7d636c240c495c4c622960d8c7b7720a"/>
    <w:p>
      <w:pPr>
        <w:pStyle w:val="Heading3"/>
      </w:pPr>
      <w:r>
        <w:t xml:space="preserve">2.1. Detailed Bill of Materials (BOM) - vyzelsle</w:t>
      </w:r>
    </w:p>
    <w:p>
      <w:pPr>
        <w:pStyle w:val="FirstParagraph"/>
      </w:pPr>
      <w:r>
        <w:t xml:space="preserve">The following table provides a detailed breakdown of the materials used in the emqvtqdoud (Smart Home Hub). The \'Emission Factor\' column represents cradle-to-gate emissions for the material production, and \'Total Carbon\' is calculated based on the quantity and emission factor of each item.</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3.50</w:t>
            </w:r>
          </w:p>
        </w:tc>
        <w:tc>
          <w:tcPr/>
          <w:p>
            <w:pPr>
              <w:pStyle w:val="Compact"/>
              <w:jc w:val="left"/>
            </w:pPr>
            <w:r>
              <w:t xml:space="preserve">0.70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10.00</w:t>
            </w:r>
          </w:p>
        </w:tc>
        <w:tc>
          <w:tcPr/>
          <w:p>
            <w:pPr>
              <w:pStyle w:val="Compact"/>
              <w:jc w:val="left"/>
            </w:pPr>
            <w:r>
              <w:t xml:space="preserve">1.00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25.00</w:t>
            </w:r>
          </w:p>
        </w:tc>
        <w:tc>
          <w:tcPr/>
          <w:p>
            <w:pPr>
              <w:pStyle w:val="Compact"/>
              <w:jc w:val="left"/>
            </w:pPr>
            <w:r>
              <w:t xml:space="preserve">1.25</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Extraction &amp; Processing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w:t>
            </w:r>
          </w:p>
        </w:tc>
      </w:tr>
      <w:tr>
        <w:tc>
          <w:tcPr/>
          <w:p>
            <w:pPr>
              <w:pStyle w:val="Compact"/>
              <w:jc w:val="left"/>
            </w:pPr>
            <w:r>
              <w:t xml:space="preserve">M005</w:t>
            </w:r>
          </w:p>
        </w:tc>
        <w:tc>
          <w:tcPr/>
          <w:p>
            <w:pPr>
              <w:pStyle w:val="Compact"/>
              <w:jc w:val="left"/>
            </w:pPr>
            <w:r>
              <w:t xml:space="preserve">Aluminum Heatsink</w:t>
            </w:r>
          </w:p>
        </w:tc>
        <w:tc>
          <w:tcPr/>
          <w:p>
            <w:pPr>
              <w:pStyle w:val="Compact"/>
              <w:jc w:val="left"/>
            </w:pPr>
            <w:r>
              <w:t xml:space="preserve">Metals</w:t>
            </w:r>
          </w:p>
        </w:tc>
        <w:tc>
          <w:tcPr/>
          <w:p>
            <w:pPr>
              <w:pStyle w:val="Compact"/>
              <w:jc w:val="left"/>
            </w:pPr>
            <w:r>
              <w:t xml:space="preserve">Casting &amp; Machining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8.00</w:t>
            </w:r>
          </w:p>
        </w:tc>
        <w:tc>
          <w:tcPr/>
          <w:p>
            <w:pPr>
              <w:pStyle w:val="Compact"/>
              <w:jc w:val="left"/>
            </w:pPr>
            <w:r>
              <w:t xml:space="preserve">0.24</w:t>
            </w:r>
          </w:p>
        </w:tc>
      </w:tr>
      <w:tr>
        <w:tc>
          <w:tcPr/>
          <w:p>
            <w:pPr>
              <w:pStyle w:val="Compact"/>
              <w:jc w:val="left"/>
            </w:pPr>
            <w:r>
              <w:t xml:space="preserve">M006</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0.08</w:t>
            </w:r>
          </w:p>
        </w:tc>
      </w:tr>
      <w:tr>
        <w:tc>
          <w:tcPr/>
          <w:p>
            <w:pPr>
              <w:pStyle w:val="Compact"/>
              <w:jc w:val="left"/>
            </w:pPr>
            <w:r>
              <w:t xml:space="preserve">M007</w:t>
            </w:r>
          </w:p>
        </w:tc>
        <w:tc>
          <w:tcPr/>
          <w:p>
            <w:pPr>
              <w:pStyle w:val="Compact"/>
              <w:jc w:val="left"/>
            </w:pPr>
            <w:r>
              <w:t xml:space="preserve">Packaging (Recycled Cardboard)</w:t>
            </w:r>
          </w:p>
        </w:tc>
        <w:tc>
          <w:tcPr/>
          <w:p>
            <w:pPr>
              <w:pStyle w:val="Compact"/>
              <w:jc w:val="left"/>
            </w:pPr>
            <w:r>
              <w:t xml:space="preserve">Paper/Board</w:t>
            </w:r>
          </w:p>
        </w:tc>
        <w:tc>
          <w:tcPr/>
          <w:p>
            <w:pPr>
              <w:pStyle w:val="Compact"/>
              <w:jc w:val="left"/>
            </w:pPr>
            <w:r>
              <w:t xml:space="preserve">Recycling &amp; 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0.03</w:t>
            </w:r>
          </w:p>
        </w:tc>
      </w:tr>
      <w:tr>
        <w:tc>
          <w:tcPr/>
          <w:p>
            <w:pPr>
              <w:pStyle w:val="Compact"/>
              <w:jc w:val="left"/>
            </w:pPr>
            <w:r>
              <w:t xml:space="preserve">M008</w:t>
            </w:r>
          </w:p>
        </w:tc>
        <w:tc>
          <w:tcPr/>
          <w:p>
            <w:pPr>
              <w:pStyle w:val="Compact"/>
              <w:jc w:val="left"/>
            </w:pPr>
            <w:r>
              <w:t xml:space="preserve">Small Electronic Components (Misc.)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w:t>
            </w:r>
          </w:p>
        </w:tc>
      </w:tr>
      <w:tr>
        <w:tc>
          <w:tcPr>
            <w:gridSpan w:val="6"/>
          </w:tcPr>
          <w:p>
            <w:pPr>
              <w:pStyle w:val="Compact"/>
              <w:jc w:val="right"/>
            </w:pPr>
            <w:r>
              <w:rPr>
                <w:bCs/>
                <w:b/>
              </w:rPr>
              <w:t xml:space="preserve">Total Material Weight:</w:t>
            </w:r>
          </w:p>
        </w:tc>
        <w:tc>
          <w:tcPr/>
          <w:p>
            <w:pPr>
              <w:pStyle w:val="Compact"/>
              <w:jc w:val="left"/>
            </w:pPr>
            <w:r>
              <w:rPr>
                <w:bCs/>
                <w:b/>
              </w:rPr>
              <w:t xml:space="preserve">0.50 kg</w:t>
            </w:r>
          </w:p>
        </w:tc>
        <w:tc>
          <w:tcPr/>
          <w:p>
            <w:pPr>
              <w:pStyle w:val="Compact"/>
              <w:jc w:val="left"/>
            </w:pPr>
            <w:r>
              <w:rPr>
                <w:bCs/>
                <w:b/>
              </w:rPr>
              <w:t xml:space="preserve">4.13 kgCO2e</w:t>
            </w:r>
          </w:p>
        </w:tc>
      </w:tr>
    </w:tbl>
    <w:p>
      <w:pPr>
        <w:pStyle w:val="BodyText"/>
      </w:pPr>
      <w:r>
        <w:rPr>
          <w:iCs/>
          <w:i/>
        </w:rPr>
        <w:t xml:space="preserve">Note: The emission factors for materials are illustrative and represent typical industry averages. In a real-world scenario, these would be sourced directly from supplier-specific data or robust databases like Ecoinvent with regional specificity.</w:t>
      </w:r>
    </w:p>
    <w:bookmarkEnd w:id="29"/>
    <w:bookmarkStart w:id="30" w:name="X248918d2c0acb954485b815d05232b3d9ad2539"/>
    <w:p>
      <w:pPr>
        <w:pStyle w:val="Heading3"/>
      </w:pPr>
      <w:r>
        <w:t xml:space="preserve">2.2. Manufacturing &amp; Energy Inputs (Production Phase)</w:t>
      </w:r>
    </w:p>
    <w:p>
      <w:pPr>
        <w:numPr>
          <w:ilvl w:val="0"/>
          <w:numId w:val="1001"/>
        </w:numPr>
        <w:pStyle w:val="Compact"/>
      </w:pPr>
      <w:r>
        <w:t xml:space="preserve">**Geographic Location:** China (for final production).</w:t>
      </w:r>
    </w:p>
    <w:p>
      <w:pPr>
        <w:numPr>
          <w:ilvl w:val="0"/>
          <w:numId w:val="1001"/>
        </w:numPr>
        <w:pStyle w:val="Compact"/>
      </w:pPr>
      <w:r>
        <w:t xml:space="preserve">**Energy Intensity (kWh/unit):** joneddevrn = 5 kWh/unit.</w:t>
      </w:r>
    </w:p>
    <w:p>
      <w:pPr>
        <w:numPr>
          <w:ilvl w:val="0"/>
          <w:numId w:val="1001"/>
        </w:numPr>
        <w:pStyle w:val="Compact"/>
      </w:pPr>
      <w:r>
        <w:t xml:space="preserve">**Renewable Energy Usage (xexxsuleod):** 30% (illustrative assumed percentage of renewable energy sourced for manufacturing operations). This means 70% of energy is drawn from the local grid.</w:t>
      </w:r>
    </w:p>
    <w:p>
      <w:pPr>
        <w:numPr>
          <w:ilvl w:val="0"/>
          <w:numId w:val="1001"/>
        </w:numPr>
        <w:pStyle w:val="Compact"/>
      </w:pPr>
      <w:r>
        <w:t xml:space="preserve">**China Grid Electricity Emission Factor (illustrative):** 0.55 kgCO2e/kWh.</w:t>
      </w:r>
    </w:p>
    <w:bookmarkEnd w:id="30"/>
    <w:bookmarkStart w:id="31" w:name="transport-logistics"/>
    <w:p>
      <w:pPr>
        <w:pStyle w:val="Heading3"/>
      </w:pPr>
      <w:r>
        <w:t xml:space="preserve">2.3. Transport Logistics</w:t>
      </w:r>
    </w:p>
    <w:p>
      <w:pPr>
        <w:pStyle w:val="FirstParagraph"/>
      </w:pPr>
      <w:r>
        <w:t xml:space="preserve">This covers the journey from the factory gate in China to end-users in Europe.</w:t>
      </w:r>
    </w:p>
    <w:p>
      <w:pPr>
        <w:numPr>
          <w:ilvl w:val="0"/>
          <w:numId w:val="1002"/>
        </w:numPr>
        <w:pStyle w:val="Compact"/>
      </w:pPr>
      <w:r>
        <w:t xml:space="preserve">**Product Weight for Transport:** 0.5 kg (Total Material Weight from BOM).</w:t>
      </w:r>
    </w:p>
    <w:p>
      <w:pPr>
        <w:numPr>
          <w:ilvl w:val="0"/>
          <w:numId w:val="1002"/>
        </w:numPr>
        <w:pStyle w:val="Compact"/>
      </w:pPr>
      <w:r>
        <w:t xml:space="preserve">**Transport Mode (Select Mode):** Ocean Freight from China to Rotterdam, followed by Road Freight (Heavy Goods Vehicle - HGV) from Rotterdam to a European distribution center.</w:t>
      </w:r>
    </w:p>
    <w:p>
      <w:pPr>
        <w:numPr>
          <w:ilvl w:val="0"/>
          <w:numId w:val="1002"/>
        </w:numPr>
        <w:pStyle w:val="Compact"/>
      </w:pPr>
      <w:r>
        <w:t xml:space="preserve">**Transport Distance (jnhiqkodgx):**</w:t>
      </w:r>
    </w:p>
    <w:p>
      <w:pPr>
        <w:numPr>
          <w:ilvl w:val="1"/>
          <w:numId w:val="1003"/>
        </w:numPr>
        <w:pStyle w:val="Compact"/>
      </w:pPr>
      <w:r>
        <w:t xml:space="preserve">Ocean Freight: 15,000 km.</w:t>
      </w:r>
    </w:p>
    <w:p>
      <w:pPr>
        <w:numPr>
          <w:ilvl w:val="1"/>
          <w:numId w:val="1003"/>
        </w:numPr>
        <w:pStyle w:val="Compact"/>
      </w:pPr>
      <w:r>
        <w:t xml:space="preserve">Road Freight (HGV, first leg): 500 km.</w:t>
      </w:r>
    </w:p>
    <w:p>
      <w:pPr>
        <w:numPr>
          <w:ilvl w:val="0"/>
          <w:numId w:val="1002"/>
        </w:numPr>
        <w:pStyle w:val="Compact"/>
      </w:pPr>
      <w:r>
        <w:t xml:space="preserve">**Last-Mile Delivery Channel (Delivery Type):** Parcel Delivery Van.</w:t>
      </w:r>
    </w:p>
    <w:p>
      <w:pPr>
        <w:numPr>
          <w:ilvl w:val="0"/>
          <w:numId w:val="1002"/>
        </w:numPr>
        <w:pStyle w:val="Compact"/>
      </w:pPr>
      <w:r>
        <w:t xml:space="preserve">**Last-Mile Distance:** 100 km (average per unit).</w:t>
      </w:r>
    </w:p>
    <w:p>
      <w:pPr>
        <w:numPr>
          <w:ilvl w:val="0"/>
          <w:numId w:val="1002"/>
        </w:numPr>
        <w:pStyle w:val="Compact"/>
      </w:pPr>
      <w:r>
        <w:t xml:space="preserve">**Illustrative Transport Emission Factors:**</w:t>
      </w:r>
    </w:p>
    <w:p>
      <w:pPr>
        <w:numPr>
          <w:ilvl w:val="1"/>
          <w:numId w:val="1004"/>
        </w:numPr>
        <w:pStyle w:val="Compact"/>
      </w:pPr>
      <w:r>
        <w:t xml:space="preserve">Ocean Freight: 0.01 kgCO2e/tonne-km.</w:t>
      </w:r>
    </w:p>
    <w:p>
      <w:pPr>
        <w:numPr>
          <w:ilvl w:val="1"/>
          <w:numId w:val="1004"/>
        </w:numPr>
        <w:pStyle w:val="Compact"/>
      </w:pPr>
      <w:r>
        <w:t xml:space="preserve">Road Freight (HGV): 0.08 kgCO2e/tonne-km.</w:t>
      </w:r>
    </w:p>
    <w:p>
      <w:pPr>
        <w:numPr>
          <w:ilvl w:val="1"/>
          <w:numId w:val="1004"/>
        </w:numPr>
        <w:pStyle w:val="Compact"/>
      </w:pPr>
      <w:r>
        <w:t xml:space="preserve">Parcel Delivery Van (Last Mile): 0.15 kgCO2e/tonne-km.</w:t>
      </w:r>
    </w:p>
    <w:bookmarkEnd w:id="31"/>
    <w:bookmarkStart w:id="32" w:name="use-phase-data"/>
    <w:p>
      <w:pPr>
        <w:pStyle w:val="Heading3"/>
      </w:pPr>
      <w:r>
        <w:t xml:space="preserve">2.4. Use Phase Data</w:t>
      </w:r>
    </w:p>
    <w:p>
      <w:pPr>
        <w:numPr>
          <w:ilvl w:val="0"/>
          <w:numId w:val="1005"/>
        </w:numPr>
        <w:pStyle w:val="Compact"/>
      </w:pPr>
      <w:r>
        <w:t xml:space="preserve">**Product Lifespan (pqtiqlhqvs):** 5 years.</w:t>
      </w:r>
    </w:p>
    <w:p>
      <w:pPr>
        <w:numPr>
          <w:ilvl w:val="0"/>
          <w:numId w:val="1005"/>
        </w:numPr>
        <w:pStyle w:val="Compact"/>
      </w:pPr>
      <w:r>
        <w:t xml:space="preserve">**Energy Consumption in Use (tsqotndmqg):** 2 kWh/year.</w:t>
      </w:r>
    </w:p>
    <w:p>
      <w:pPr>
        <w:numPr>
          <w:ilvl w:val="0"/>
          <w:numId w:val="1005"/>
        </w:numPr>
        <w:pStyle w:val="Compact"/>
      </w:pPr>
      <w:r>
        <w:t xml:space="preserve">**Europe Grid Electricity Emission Factor (illustrative):** 0.255 kgCO2e/kWh (EU average 2022).</w:t>
      </w:r>
    </w:p>
    <w:bookmarkEnd w:id="32"/>
    <w:bookmarkStart w:id="33" w:name="end-of-life-eol-scenarios"/>
    <w:p>
      <w:pPr>
        <w:pStyle w:val="Heading3"/>
      </w:pPr>
      <w:r>
        <w:t xml:space="preserve">2.5. End-of-Life (EoL) Scenarios</w:t>
      </w:r>
    </w:p>
    <w:p>
      <w:pPr>
        <w:numPr>
          <w:ilvl w:val="0"/>
          <w:numId w:val="1006"/>
        </w:numPr>
        <w:pStyle w:val="Compact"/>
      </w:pPr>
      <w:r>
        <w:t xml:space="preserve">**Recyclability Percentage (ehlrwzeosw):** 60% of total product material weight is assumed to be recycled.</w:t>
      </w:r>
    </w:p>
    <w:p>
      <w:pPr>
        <w:numPr>
          <w:ilvl w:val="0"/>
          <w:numId w:val="1006"/>
        </w:numPr>
        <w:pStyle w:val="Compact"/>
      </w:pPr>
      <w:r>
        <w:t xml:space="preserve">**Circular/Take-back Programs (jwfyhutpui):** Company-operated take-back program in key European markets, offering end-of-life collection and material recovery for core components. This program is assumed to facilitate the 60% recyclability.</w:t>
      </w:r>
    </w:p>
    <w:p>
      <w:pPr>
        <w:numPr>
          <w:ilvl w:val="0"/>
          <w:numId w:val="1006"/>
        </w:numPr>
        <w:pStyle w:val="Compact"/>
      </w:pPr>
      <w:r>
        <w:t xml:space="preserve">**Illustrative EoL Emission Factors:**</w:t>
      </w:r>
    </w:p>
    <w:p>
      <w:pPr>
        <w:numPr>
          <w:ilvl w:val="1"/>
          <w:numId w:val="1007"/>
        </w:numPr>
        <w:pStyle w:val="Compact"/>
      </w:pPr>
      <w:r>
        <w:t xml:space="preserve">Recycling Credit (e.g., for plastics/metals): -1.0 kgCO2e/kg (avoided emissions).</w:t>
      </w:r>
    </w:p>
    <w:p>
      <w:pPr>
        <w:numPr>
          <w:ilvl w:val="1"/>
          <w:numId w:val="1007"/>
        </w:numPr>
        <w:pStyle w:val="Compact"/>
      </w:pPr>
      <w:r>
        <w:t xml:space="preserve">Disposal (Landfill/Incineration for non-recycled waste): 0.2 kgCO2e/kg.</w:t>
      </w:r>
    </w:p>
    <w:p>
      <w:r>
        <w:pict>
          <v:rect style="width:0;height:1.5pt" o:hralign="center" o:hrstd="t" o:hr="t"/>
        </w:pict>
      </w:r>
    </w:p>
    <w:bookmarkEnd w:id="33"/>
    <w:bookmarkEnd w:id="34"/>
    <w:bookmarkStart w:id="45" w:name="calculation-of-emissions-co2e"/>
    <w:p>
      <w:pPr>
        <w:pStyle w:val="Heading2"/>
      </w:pPr>
      <w:r>
        <w:t xml:space="preserve">4. Calculation of Emissions (CO2e)</w:t>
      </w:r>
    </w:p>
    <w:p>
      <w:pPr>
        <w:pStyle w:val="FirstParagraph"/>
      </w:pPr>
      <w:r>
        <w:t xml:space="preserve">Emissions are calculated by multiplying activity data by relevant emission factors. The results are categorized according to the GHG Protocol\'s Scope 1, 2, and 3 definitions.</w:t>
      </w:r>
    </w:p>
    <w:bookmarkStart w:id="35" w:name="scope-1-emissions-direct-emissions"/>
    <w:p>
      <w:pPr>
        <w:pStyle w:val="Heading3"/>
      </w:pPr>
      <w:r>
        <w:t xml:space="preserve">4.1. Scope 1 Emissions (Direct Emissions)</w:t>
      </w:r>
    </w:p>
    <w:p>
      <w:pPr>
        <w:pStyle w:val="FirstParagraph"/>
      </w:pPr>
      <w:r>
        <w:t xml:space="preserve">As the system boundary is \'factory_gate\' and the focus is on a product PCF, direct Scope 1 emissions from xxjxggqlgy\'s operations for the manufacturing of \'emqvtqdoud\' are considered minimal or covered by supplier-specific data for the materials (which fall under Scope 3 for the reporting company). Typical Scope 1 sources like on-site combustion of fuels or fugitive emissions from refrigerants are not specified. For this report, direct Scope 1 emissions specifically attributable to the product manufacturing at the factory_gate are assumed to be negligible or embedded within the Scope 3 material emission factors if sourced from upstream suppliers.</w:t>
      </w:r>
    </w:p>
    <w:p>
      <w:pPr>
        <w:pStyle w:val="BodyText"/>
      </w:pPr>
      <w:r>
        <w:rPr>
          <w:bCs/>
          <w:b/>
        </w:rPr>
        <w:t xml:space="preserve">Total Scope 1 Emissions: 0.00 kgCO2e</w:t>
      </w:r>
      <w:r>
        <w:t xml:space="preserve"> </w:t>
      </w:r>
      <w:r>
        <w:t xml:space="preserve">(Assumed negligible at the product level for this scope definition).</w:t>
      </w:r>
    </w:p>
    <w:bookmarkEnd w:id="35"/>
    <w:bookmarkStart w:id="36" w:name="scope-2-emissions-purchased-energy"/>
    <w:p>
      <w:pPr>
        <w:pStyle w:val="Heading3"/>
      </w:pPr>
      <w:r>
        <w:t xml:space="preserve">4.2. Scope 2 Emissions (Purchased Energy)</w:t>
      </w:r>
    </w:p>
    <w:p>
      <w:pPr>
        <w:pStyle w:val="FirstParagraph"/>
      </w:pPr>
      <w:r>
        <w:t xml:space="preserve">These emissions arise from the electricity purchased for the manufacturing process in China.</w:t>
      </w:r>
    </w:p>
    <w:p>
      <w:pPr>
        <w:numPr>
          <w:ilvl w:val="0"/>
          <w:numId w:val="1008"/>
        </w:numPr>
        <w:pStyle w:val="Compact"/>
      </w:pPr>
      <w:r>
        <w:t xml:space="preserve">Total energy consumed in manufacturing: 5 kWh/unit</w:t>
      </w:r>
    </w:p>
    <w:p>
      <w:pPr>
        <w:numPr>
          <w:ilvl w:val="0"/>
          <w:numId w:val="1008"/>
        </w:numPr>
        <w:pStyle w:val="Compact"/>
      </w:pPr>
      <w:r>
        <w:t xml:space="preserve">Renewable energy usage: 30%</w:t>
      </w:r>
    </w:p>
    <w:p>
      <w:pPr>
        <w:numPr>
          <w:ilvl w:val="0"/>
          <w:numId w:val="1008"/>
        </w:numPr>
        <w:pStyle w:val="Compact"/>
      </w:pPr>
      <w:r>
        <w:t xml:space="preserve">Non-renewable energy from grid: 5 kWh/unit * (1 - 0.30) = 3.5 kWh/unit</w:t>
      </w:r>
    </w:p>
    <w:p>
      <w:pPr>
        <w:numPr>
          <w:ilvl w:val="0"/>
          <w:numId w:val="1008"/>
        </w:numPr>
        <w:pStyle w:val="Compact"/>
      </w:pPr>
      <w:r>
        <w:t xml:space="preserve">China Grid Electricity Emission Factor: 0.55 kgCO2e/kWh (illustrative)</w:t>
      </w:r>
    </w:p>
    <w:p>
      <w:pPr>
        <w:numPr>
          <w:ilvl w:val="0"/>
          <w:numId w:val="1008"/>
        </w:numPr>
        <w:pStyle w:val="Compact"/>
      </w:pPr>
      <w:r>
        <w:rPr>
          <w:bCs/>
          <w:b/>
        </w:rPr>
        <w:t xml:space="preserve">Calculation:</w:t>
      </w:r>
      <w:r>
        <w:t xml:space="preserve"> </w:t>
      </w:r>
      <w:r>
        <w:t xml:space="preserve">3.5 kWh/unit * 0.55 kgCO2e/kWh = 1.925 kgCO2e</w:t>
      </w:r>
    </w:p>
    <w:p>
      <w:pPr>
        <w:pStyle w:val="FirstParagraph"/>
      </w:pPr>
      <w:r>
        <w:rPr>
          <w:bCs/>
          <w:b/>
        </w:rPr>
        <w:t xml:space="preserve">Total Scope 2 Emissions: 1.93 kgCO2e</w:t>
      </w:r>
    </w:p>
    <w:bookmarkEnd w:id="36"/>
    <w:bookmarkStart w:id="42" w:name="scope-3-emissions-value-chain-emissions"/>
    <w:p>
      <w:pPr>
        <w:pStyle w:val="Heading3"/>
      </w:pPr>
      <w:r>
        <w:t xml:space="preserve">4.3. Scope 3 Emissions (Value Chain Emissions)</w:t>
      </w:r>
    </w:p>
    <w:p>
      <w:pPr>
        <w:pStyle w:val="FirstParagraph"/>
      </w:pPr>
      <w:r>
        <w:t xml:space="preserve">Scope 3 emissions are the most significant for a product PCF, covering all indirect emissions not included in Scope 1 or 2. This report ensures at least 95% coverage for Scope 3 reporting, as per 2026 requirements, by including all relevant categories.</w:t>
      </w:r>
    </w:p>
    <w:bookmarkStart w:id="37" w:name="X0d6c09728dda2ec1ecf5cf6be8414589568f715"/>
    <w:p>
      <w:pPr>
        <w:pStyle w:val="Heading4"/>
      </w:pPr>
      <w:r>
        <w:t xml:space="preserve">4.3.1. Category 1: Upstream Emissions from Purchased Goods and Services (Materials)</w:t>
      </w:r>
    </w:p>
    <w:p>
      <w:pPr>
        <w:pStyle w:val="FirstParagraph"/>
      </w:pPr>
      <w:r>
        <w:t xml:space="preserve">These are the emissions associated with the extraction, production, and transportation of raw materials and components prior to their use in manufacturing. The calculations use the \'Total Carbon\' derived from the detailed BOM.</w:t>
      </w:r>
    </w:p>
    <w:p>
      <w:pPr>
        <w:numPr>
          <w:ilvl w:val="0"/>
          <w:numId w:val="1009"/>
        </w:numPr>
        <w:pStyle w:val="Compact"/>
      </w:pPr>
      <w:r>
        <w:t xml:space="preserve">Total Material Emissions: 4.13 kgCO2e</w:t>
      </w:r>
    </w:p>
    <w:p>
      <w:pPr>
        <w:pStyle w:val="FirstParagraph"/>
      </w:pPr>
      <w:r>
        <w:rPr>
          <w:bCs/>
          <w:b/>
        </w:rPr>
        <w:t xml:space="preserve">Subtotal Scope 3 - Materials: 4.13 kgCO2e</w:t>
      </w:r>
    </w:p>
    <w:bookmarkEnd w:id="37"/>
    <w:bookmarkStart w:id="38" w:name="X6669a43143349c25ec93e775eebde43de53a73c"/>
    <w:p>
      <w:pPr>
        <w:pStyle w:val="Heading4"/>
      </w:pPr>
      <w:r>
        <w:t xml:space="preserve">4.3.2. Category 4: Upstream Transportation and Distribution</w:t>
      </w:r>
    </w:p>
    <w:p>
      <w:pPr>
        <w:pStyle w:val="FirstParagraph"/>
      </w:pPr>
      <w:r>
        <w:t xml:space="preserve">This includes transportation of materials and components to the manufacturing facility. However, since the BOM emission factors are generally \'cradle-to-gate\' for the material itself, meaning transport to the point of sale of the material is included, we focus on the transport of the finished product from the factory gate to the customer\'s region.</w:t>
      </w:r>
    </w:p>
    <w:p>
      <w:pPr>
        <w:pStyle w:val="BodyText"/>
      </w:pPr>
      <w:r>
        <w:t xml:space="preserve">For this analysis, we\'ll interpret \'Transport Mode: Select Mode\' and \'Transport Distance: jnhiqkodgx\' as the initial distribution of the finished product. The calculations are based on the product\'s total weight (0.5 kg).</w:t>
      </w:r>
    </w:p>
    <w:p>
      <w:pPr>
        <w:numPr>
          <w:ilvl w:val="0"/>
          <w:numId w:val="1010"/>
        </w:numPr>
        <w:pStyle w:val="Compact"/>
      </w:pPr>
      <w:r>
        <w:t xml:space="preserve">Ocean Freight: (0.5 kg / 1000 kg/tonne) * 15,000 km * 0.01 kgCO2e/tonne-km = 0.075 kgCO2e</w:t>
      </w:r>
    </w:p>
    <w:p>
      <w:pPr>
        <w:numPr>
          <w:ilvl w:val="0"/>
          <w:numId w:val="1010"/>
        </w:numPr>
        <w:pStyle w:val="Compact"/>
      </w:pPr>
      <w:r>
        <w:t xml:space="preserve">Road Freight (HGV, first leg): (0.5 kg / 1000 kg/tonne) * 500 km * 0.08 kgCO2e/tonne-km = 0.020 kgCO2e</w:t>
      </w:r>
    </w:p>
    <w:p>
      <w:pPr>
        <w:pStyle w:val="FirstParagraph"/>
      </w:pPr>
      <w:r>
        <w:rPr>
          <w:bCs/>
          <w:b/>
        </w:rPr>
        <w:t xml:space="preserve">Subtotal Scope 3 - Upstream Transport: 0.095 kgCO2e</w:t>
      </w:r>
    </w:p>
    <w:bookmarkEnd w:id="38"/>
    <w:bookmarkStart w:id="39" w:name="Xe6a609cc71639c4bb5b5bcd247c776c9d89fa33"/>
    <w:p>
      <w:pPr>
        <w:pStyle w:val="Heading4"/>
      </w:pPr>
      <w:r>
        <w:t xml:space="preserve">4.3.3. Category 9: Downstream Transportation and Distribution (Last-Mile Delivery)</w:t>
      </w:r>
    </w:p>
    <w:p>
      <w:pPr>
        <w:pStyle w:val="FirstParagraph"/>
      </w:pPr>
      <w:r>
        <w:t xml:space="preserve">This accounts for the last-mile delivery to the end-consumer.</w:t>
      </w:r>
    </w:p>
    <w:p>
      <w:pPr>
        <w:numPr>
          <w:ilvl w:val="0"/>
          <w:numId w:val="1011"/>
        </w:numPr>
        <w:pStyle w:val="Compact"/>
      </w:pPr>
      <w:r>
        <w:t xml:space="preserve">Last-Mile Delivery: (0.5 kg / 1000 kg/tonne) * 100 km * 0.15 kgCO2e/tonne-km = 0.0075 kgCO2e</w:t>
      </w:r>
    </w:p>
    <w:p>
      <w:pPr>
        <w:pStyle w:val="FirstParagraph"/>
      </w:pPr>
      <w:r>
        <w:rPr>
          <w:bCs/>
          <w:b/>
        </w:rPr>
        <w:t xml:space="preserve">Subtotal Scope 3 - Last-Mile Delivery: 0.01 kgCO2e</w:t>
      </w:r>
    </w:p>
    <w:bookmarkEnd w:id="39"/>
    <w:bookmarkStart w:id="40" w:name="category-11-use-of-sold-products"/>
    <w:p>
      <w:pPr>
        <w:pStyle w:val="Heading4"/>
      </w:pPr>
      <w:r>
        <w:t xml:space="preserve">4.3.4. Category 11: Use of Sold Products</w:t>
      </w:r>
    </w:p>
    <w:p>
      <w:pPr>
        <w:pStyle w:val="FirstParagraph"/>
      </w:pPr>
      <w:r>
        <w:t xml:space="preserve">Emissions from the energy consumed by the product during its lifespan.</w:t>
      </w:r>
    </w:p>
    <w:p>
      <w:pPr>
        <w:numPr>
          <w:ilvl w:val="0"/>
          <w:numId w:val="1012"/>
        </w:numPr>
        <w:pStyle w:val="Compact"/>
      </w:pPr>
      <w:r>
        <w:t xml:space="preserve">Annual energy consumption: 2 kWh/year</w:t>
      </w:r>
    </w:p>
    <w:p>
      <w:pPr>
        <w:numPr>
          <w:ilvl w:val="0"/>
          <w:numId w:val="1012"/>
        </w:numPr>
        <w:pStyle w:val="Compact"/>
      </w:pPr>
      <w:r>
        <w:t xml:space="preserve">Product Lifespan: 5 years</w:t>
      </w:r>
    </w:p>
    <w:p>
      <w:pPr>
        <w:numPr>
          <w:ilvl w:val="0"/>
          <w:numId w:val="1012"/>
        </w:numPr>
        <w:pStyle w:val="Compact"/>
      </w:pPr>
      <w:r>
        <w:t xml:space="preserve">Total energy consumption over lifespan: 2 kWh/year * 5 years = 10 kWh</w:t>
      </w:r>
    </w:p>
    <w:p>
      <w:pPr>
        <w:numPr>
          <w:ilvl w:val="0"/>
          <w:numId w:val="1012"/>
        </w:numPr>
        <w:pStyle w:val="Compact"/>
      </w:pPr>
      <w:r>
        <w:t xml:space="preserve">Europe Grid Electricity Emission Factor: 0.255 kgCO2e/kWh</w:t>
      </w:r>
    </w:p>
    <w:p>
      <w:pPr>
        <w:numPr>
          <w:ilvl w:val="0"/>
          <w:numId w:val="1012"/>
        </w:numPr>
        <w:pStyle w:val="Compact"/>
      </w:pPr>
      <w:r>
        <w:rPr>
          <w:bCs/>
          <w:b/>
        </w:rPr>
        <w:t xml:space="preserve">Calculation:</w:t>
      </w:r>
      <w:r>
        <w:t xml:space="preserve"> </w:t>
      </w:r>
      <w:r>
        <w:t xml:space="preserve">10 kWh * 0.255 kgCO2e/kWh = 2.55 kgCO2e</w:t>
      </w:r>
    </w:p>
    <w:p>
      <w:pPr>
        <w:pStyle w:val="FirstParagraph"/>
      </w:pPr>
      <w:r>
        <w:rPr>
          <w:bCs/>
          <w:b/>
        </w:rPr>
        <w:t xml:space="preserve">Subtotal Scope 3 - Use Phase: 2.55 kgCO2e</w:t>
      </w:r>
    </w:p>
    <w:bookmarkEnd w:id="40"/>
    <w:bookmarkStart w:id="41" w:name="X9f66eef2700632e081dfe139021cb724ffcd2c5"/>
    <w:p>
      <w:pPr>
        <w:pStyle w:val="Heading4"/>
      </w:pPr>
      <w:r>
        <w:t xml:space="preserve">4.3.5. Category 12: End-of-Life Treatment of Sold Products</w:t>
      </w:r>
    </w:p>
    <w:p>
      <w:pPr>
        <w:pStyle w:val="FirstParagraph"/>
      </w:pPr>
      <w:r>
        <w:t xml:space="preserve">Emissions and avoided emissions (credits) associated with product disposal and recycling.</w:t>
      </w:r>
    </w:p>
    <w:p>
      <w:pPr>
        <w:numPr>
          <w:ilvl w:val="0"/>
          <w:numId w:val="1013"/>
        </w:numPr>
        <w:pStyle w:val="Compact"/>
      </w:pPr>
      <w:r>
        <w:t xml:space="preserve">Total product material weight: 0.5 kg</w:t>
      </w:r>
    </w:p>
    <w:p>
      <w:pPr>
        <w:numPr>
          <w:ilvl w:val="0"/>
          <w:numId w:val="1013"/>
        </w:numPr>
        <w:pStyle w:val="Compact"/>
      </w:pPr>
      <w:r>
        <w:t xml:space="preserve">Recyclability Percentage: 60%</w:t>
      </w:r>
    </w:p>
    <w:p>
      <w:pPr>
        <w:numPr>
          <w:ilvl w:val="0"/>
          <w:numId w:val="1013"/>
        </w:numPr>
        <w:pStyle w:val="Compact"/>
      </w:pPr>
      <w:r>
        <w:t xml:space="preserve">Weight recycled: 0.5 kg * 0.60 = 0.3 kg</w:t>
      </w:r>
    </w:p>
    <w:p>
      <w:pPr>
        <w:numPr>
          <w:ilvl w:val="0"/>
          <w:numId w:val="1013"/>
        </w:numPr>
        <w:pStyle w:val="Compact"/>
      </w:pPr>
      <w:r>
        <w:t xml:space="preserve">Weight disposed: 0.5 kg * 0.40 = 0.2 kg</w:t>
      </w:r>
    </w:p>
    <w:p>
      <w:pPr>
        <w:numPr>
          <w:ilvl w:val="0"/>
          <w:numId w:val="1013"/>
        </w:numPr>
        <w:pStyle w:val="Compact"/>
      </w:pPr>
      <w:r>
        <w:t xml:space="preserve">Recycling Credit: 0.3 kg * -1.0 kgCO2e/kg = -0.30 kgCO2e</w:t>
      </w:r>
    </w:p>
    <w:p>
      <w:pPr>
        <w:numPr>
          <w:ilvl w:val="0"/>
          <w:numId w:val="1013"/>
        </w:numPr>
        <w:pStyle w:val="Compact"/>
      </w:pPr>
      <w:r>
        <w:t xml:space="preserve">Disposal Emissions: 0.2 kg * 0.2 kgCO2e/kg = 0.04 kgCO2e</w:t>
      </w:r>
    </w:p>
    <w:p>
      <w:pPr>
        <w:numPr>
          <w:ilvl w:val="0"/>
          <w:numId w:val="1013"/>
        </w:numPr>
        <w:pStyle w:val="Compact"/>
      </w:pPr>
      <w:r>
        <w:t xml:space="preserve">Net EoL Emissions: -0.30 kgCO2e + 0.04 kgCO2e = -0.26 kgCO2e</w:t>
      </w:r>
    </w:p>
    <w:p>
      <w:pPr>
        <w:pStyle w:val="FirstParagraph"/>
      </w:pPr>
      <w:r>
        <w:t xml:space="preserve">The company\'s active take-back program (jwfyhutpui) directly supports this high recyclability percentage and the associated avoided emissions.</w:t>
      </w:r>
    </w:p>
    <w:p>
      <w:pPr>
        <w:pStyle w:val="BodyText"/>
      </w:pPr>
      <w:r>
        <w:rPr>
          <w:bCs/>
          <w:b/>
        </w:rPr>
        <w:t xml:space="preserve">Subtotal Scope 3 - End-of-Life: -0.26 kgCO2e</w:t>
      </w:r>
    </w:p>
    <w:bookmarkEnd w:id="41"/>
    <w:bookmarkEnd w:id="42"/>
    <w:bookmarkStart w:id="43" w:name="total-product-carbon-footprint-pcf"/>
    <w:p>
      <w:pPr>
        <w:pStyle w:val="Heading3"/>
      </w:pPr>
      <w:r>
        <w:t xml:space="preserve">Total Product Carbon Footprint (PCF)</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Total Emissions (kgCO2e)</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1.93</w:t>
            </w:r>
          </w:p>
        </w:tc>
      </w:tr>
      <w:tr>
        <w:tc>
          <w:tcPr/>
          <w:p>
            <w:pPr>
              <w:pStyle w:val="Compact"/>
              <w:jc w:val="left"/>
            </w:pPr>
            <w:r>
              <w:t xml:space="preserve">Scope 3</w:t>
            </w:r>
          </w:p>
        </w:tc>
        <w:tc>
          <w:tcPr/>
          <w:p>
            <w:pPr>
              <w:pStyle w:val="Compact"/>
              <w:jc w:val="left"/>
            </w:pPr>
            <w:r>
              <w:t xml:space="preserve">Upstream Emissions from Purchased Goods and Services (Materials)</w:t>
            </w:r>
          </w:p>
        </w:tc>
        <w:tc>
          <w:tcPr/>
          <w:p>
            <w:pPr>
              <w:pStyle w:val="Compact"/>
              <w:jc w:val="left"/>
            </w:pPr>
            <w:r>
              <w:t xml:space="preserve">4.13</w:t>
            </w:r>
          </w:p>
        </w:tc>
      </w:tr>
      <w:tr>
        <w:tc>
          <w:tcPr/>
          <w:p>
            <w:pPr>
              <w:pStyle w:val="Compact"/>
              <w:jc w:val="left"/>
            </w:pPr>
            <w:r>
              <w:t xml:space="preserve">Scope 3</w:t>
            </w:r>
          </w:p>
        </w:tc>
        <w:tc>
          <w:tcPr/>
          <w:p>
            <w:pPr>
              <w:pStyle w:val="Compact"/>
              <w:jc w:val="left"/>
            </w:pPr>
            <w:r>
              <w:t xml:space="preserve">Upstream Transportation and Distribution (Finished Product to Europe)</w:t>
            </w:r>
          </w:p>
        </w:tc>
        <w:tc>
          <w:tcPr/>
          <w:p>
            <w:pPr>
              <w:pStyle w:val="Compact"/>
              <w:jc w:val="left"/>
            </w:pPr>
            <w:r>
              <w:t xml:space="preserve">0.10</w:t>
            </w:r>
          </w:p>
        </w:tc>
      </w:tr>
      <w:tr>
        <w:tc>
          <w:tcPr/>
          <w:p>
            <w:pPr>
              <w:pStyle w:val="Compact"/>
              <w:jc w:val="left"/>
            </w:pPr>
            <w:r>
              <w:t xml:space="preserve">Scope 3</w:t>
            </w:r>
          </w:p>
        </w:tc>
        <w:tc>
          <w:tcPr/>
          <w:p>
            <w:pPr>
              <w:pStyle w:val="Compact"/>
              <w:jc w:val="left"/>
            </w:pPr>
            <w:r>
              <w:t xml:space="preserve">Downstream Transportation and Distribution (Last-Mile Delivery)</w:t>
            </w:r>
          </w:p>
        </w:tc>
        <w:tc>
          <w:tcPr/>
          <w:p>
            <w:pPr>
              <w:pStyle w:val="Compact"/>
              <w:jc w:val="left"/>
            </w:pPr>
            <w:r>
              <w:t xml:space="preserve">0.01</w:t>
            </w:r>
          </w:p>
        </w:tc>
      </w:tr>
      <w:tr>
        <w:tc>
          <w:tcPr/>
          <w:p>
            <w:pPr>
              <w:pStyle w:val="Compact"/>
              <w:jc w:val="left"/>
            </w:pPr>
            <w:r>
              <w:t xml:space="preserve">Scope 3</w:t>
            </w:r>
          </w:p>
        </w:tc>
        <w:tc>
          <w:tcPr/>
          <w:p>
            <w:pPr>
              <w:pStyle w:val="Compact"/>
              <w:jc w:val="left"/>
            </w:pPr>
            <w:r>
              <w:t xml:space="preserve">Use of Sold Products</w:t>
            </w:r>
          </w:p>
        </w:tc>
        <w:tc>
          <w:tcPr/>
          <w:p>
            <w:pPr>
              <w:pStyle w:val="Compact"/>
              <w:jc w:val="left"/>
            </w:pPr>
            <w:r>
              <w:t xml:space="preserve">2.55</w:t>
            </w:r>
          </w:p>
        </w:tc>
      </w:tr>
      <w:tr>
        <w:tc>
          <w:tcPr/>
          <w:p>
            <w:pPr>
              <w:pStyle w:val="Compact"/>
              <w:jc w:val="left"/>
            </w:pPr>
            <w:r>
              <w:t xml:space="preserve">Scope 3</w:t>
            </w:r>
          </w:p>
        </w:tc>
        <w:tc>
          <w:tcPr/>
          <w:p>
            <w:pPr>
              <w:pStyle w:val="Compact"/>
              <w:jc w:val="left"/>
            </w:pPr>
            <w:r>
              <w:t xml:space="preserve">End-of-Life Treatment of Sold Products</w:t>
            </w:r>
          </w:p>
        </w:tc>
        <w:tc>
          <w:tcPr/>
          <w:p>
            <w:pPr>
              <w:pStyle w:val="Compact"/>
              <w:jc w:val="left"/>
            </w:pPr>
            <w:r>
              <w:t xml:space="preserve">-0.26</w:t>
            </w:r>
          </w:p>
        </w:tc>
      </w:tr>
      <w:tr>
        <w:tc>
          <w:tcPr>
            <w:gridSpan w:val="2"/>
          </w:tcPr>
          <w:p>
            <w:pPr>
              <w:pStyle w:val="Compact"/>
              <w:jc w:val="right"/>
            </w:pPr>
            <w:r>
              <w:rPr>
                <w:bCs/>
                <w:b/>
              </w:rPr>
              <w:t xml:space="preserve">Total PCF:</w:t>
            </w:r>
          </w:p>
        </w:tc>
        <w:tc>
          <w:tcPr/>
          <w:p>
            <w:pPr>
              <w:pStyle w:val="Compact"/>
              <w:jc w:val="left"/>
            </w:pPr>
            <w:r>
              <w:rPr>
                <w:bCs/>
                <w:b/>
              </w:rPr>
              <w:t xml:space="preserve">8.46 kgCO2e per unit</w:t>
            </w:r>
          </w:p>
        </w:tc>
      </w:tr>
    </w:tbl>
    <w:p>
      <w:pPr>
        <w:pStyle w:val="BodyText"/>
      </w:pPr>
      <w:r>
        <w:rPr>
          <w:bCs/>
          <w:b/>
        </w:rPr>
        <w:t xml:space="preserve">Summary of Emissions by Scope:</w:t>
      </w:r>
    </w:p>
    <w:p>
      <w:pPr>
        <w:numPr>
          <w:ilvl w:val="0"/>
          <w:numId w:val="1014"/>
        </w:numPr>
        <w:pStyle w:val="Compact"/>
      </w:pPr>
      <w:r>
        <w:t xml:space="preserve">Scope 1: 0.00 kgCO2e (0.0%)</w:t>
      </w:r>
    </w:p>
    <w:p>
      <w:pPr>
        <w:numPr>
          <w:ilvl w:val="0"/>
          <w:numId w:val="1014"/>
        </w:numPr>
        <w:pStyle w:val="Compact"/>
      </w:pPr>
      <w:r>
        <w:t xml:space="preserve">Scope 2: 1.93 kgCO2e (22.8%)</w:t>
      </w:r>
    </w:p>
    <w:p>
      <w:pPr>
        <w:numPr>
          <w:ilvl w:val="0"/>
          <w:numId w:val="1014"/>
        </w:numPr>
        <w:pStyle w:val="Compact"/>
      </w:pPr>
      <w:r>
        <w:t xml:space="preserve">Scope 3: 6.53 kgCO2e (77.2%)</w:t>
      </w:r>
    </w:p>
    <w:bookmarkEnd w:id="43"/>
    <w:bookmarkStart w:id="44" w:name="application-of-2026-lsr-update"/>
    <w:p>
      <w:pPr>
        <w:pStyle w:val="Heading3"/>
      </w:pPr>
      <w:r>
        <w:t xml:space="preserve">4.4. Application of 2026 LSR Update</w:t>
      </w:r>
    </w:p>
    <w:p>
      <w:pPr>
        <w:pStyle w:val="FirstParagraph"/>
      </w:pPr>
      <w:r>
        <w:t xml:space="preserve">The GHG Protocol\'s Land Sector and Removals (LSR) Standard v1.0, released January 30, 2026, and effective January 1, 2027, provides a framework for companies to account for land-based GHG emissions and carbon removals. For \'emqvtqdoud\' (Smart Home Hub), direct land-use change impacts are not immediately apparent, as the product itself is not land-intensive. However, the LSR Standard\'s principles apply to the upstream supply chain. For instance, if the production of raw materials (e.g., metals, plastics derived from biomass) involved land-use change or sequestration activities, these impacts would need to be quantified. Given the general nature of the BOM data provided, specific LSR impacts cannot be quantitatively assessed in this report. xxjxggqlgy should investigate upstream suppliers for land-related emissions, especially if sourcing materials from agricultural or forestry sectors, to comply fully with the LSR Standard upon its effective date.</w:t>
      </w:r>
    </w:p>
    <w:p>
      <w:r>
        <w:pict>
          <v:rect style="width:0;height:1.5pt" o:hralign="center" o:hrstd="t" o:hr="t"/>
        </w:pict>
      </w:r>
    </w:p>
    <w:bookmarkEnd w:id="44"/>
    <w:bookmarkEnd w:id="45"/>
    <w:bookmarkStart w:id="48" w:name="review-report"/>
    <w:p>
      <w:pPr>
        <w:pStyle w:val="Heading2"/>
      </w:pPr>
      <w:r>
        <w:t xml:space="preserve">5. Review &amp; Report</w:t>
      </w:r>
    </w:p>
    <w:bookmarkStart w:id="46" w:name="identification-of-hotspots"/>
    <w:p>
      <w:pPr>
        <w:pStyle w:val="Heading3"/>
      </w:pPr>
      <w:r>
        <w:t xml:space="preserve">5.1. Identification of Hotspots</w:t>
      </w:r>
    </w:p>
    <w:p>
      <w:pPr>
        <w:pStyle w:val="FirstParagraph"/>
      </w:pPr>
      <w:r>
        <w:t xml:space="preserve">Based on the calculations, the primary emission hotspots for emqvtqdoud are:</w:t>
      </w:r>
    </w:p>
    <w:p>
      <w:pPr>
        <w:numPr>
          <w:ilvl w:val="0"/>
          <w:numId w:val="1015"/>
        </w:numPr>
        <w:pStyle w:val="Compact"/>
      </w:pPr>
      <w:r>
        <w:rPr>
          <w:bCs/>
          <w:b/>
        </w:rPr>
        <w:t xml:space="preserve">Upstream Materials (Scope 3):</w:t>
      </w:r>
      <w:r>
        <w:t xml:space="preserve"> </w:t>
      </w:r>
      <w:r>
        <w:t xml:space="preserve">Representing 4.13 kgCO2e (48.8% of total PCF), the raw material acquisition and processing phase is the most significant contributor. The Lithium-ion Battery and Printed Circuit Board (PCB) components show particularly high emission factors per kilogram, reflecting their complex manufacturing processes and resource intensity.</w:t>
      </w:r>
    </w:p>
    <w:p>
      <w:pPr>
        <w:numPr>
          <w:ilvl w:val="0"/>
          <w:numId w:val="1015"/>
        </w:numPr>
        <w:pStyle w:val="Compact"/>
      </w:pPr>
      <w:r>
        <w:rPr>
          <w:bCs/>
          <w:b/>
        </w:rPr>
        <w:t xml:space="preserve">Use Phase (Scope 3):</w:t>
      </w:r>
      <w:r>
        <w:t xml:space="preserve"> </w:t>
      </w:r>
      <w:r>
        <w:t xml:space="preserve">Accounting for 2.55 kgCO2e (30.1% of total PCF), the energy consumption during the product\'s 5-year lifespan is a substantial contributor, even with a relatively low annual consumption. This highlights the importance of energy efficiency for electronic devices.</w:t>
      </w:r>
    </w:p>
    <w:p>
      <w:pPr>
        <w:numPr>
          <w:ilvl w:val="0"/>
          <w:numId w:val="1015"/>
        </w:numPr>
        <w:pStyle w:val="Compact"/>
      </w:pPr>
      <w:r>
        <w:rPr>
          <w:bCs/>
          <w:b/>
        </w:rPr>
        <w:t xml:space="preserve">Manufacturing (Scope 2):</w:t>
      </w:r>
      <w:r>
        <w:t xml:space="preserve"> </w:t>
      </w:r>
      <w:r>
        <w:t xml:space="preserve">Emissions from purchased electricity for manufacturing in China contribute 1.93 kgCO2e (22.8% of total PCF), reflecting the carbon intensity of the regional grid.</w:t>
      </w:r>
    </w:p>
    <w:bookmarkEnd w:id="46"/>
    <w:bookmarkStart w:id="47" w:name="reliability-and-limitations"/>
    <w:p>
      <w:pPr>
        <w:pStyle w:val="Heading3"/>
      </w:pPr>
      <w:r>
        <w:t xml:space="preserve">5.2. Reliability and Limitations</w:t>
      </w:r>
    </w:p>
    <w:p>
      <w:pPr>
        <w:pStyle w:val="FirstParagraph"/>
      </w:pPr>
      <w:r>
        <w:t xml:space="preserve">The reliability of this PCF analysis is good for demonstrating the methodology, but specific numerical accuracy is dependent on the quality of the input data. This report relies on several illustrative assumptions for placeholder parameters (e.g., specific BOM quantities, transport distances, energy consumption, and emission factors). While efforts were made to use representative industry averages, precise primary data from xxjxggqlgy\'s suppliers and operations would yield a more accurate result.</w:t>
      </w:r>
    </w:p>
    <w:p>
      <w:pPr>
        <w:pStyle w:val="BodyText"/>
      </w:pPr>
      <w:r>
        <w:rPr>
          <w:bCs/>
          <w:b/>
        </w:rPr>
        <w:t xml:space="preserve">Limitations include:</w:t>
      </w:r>
    </w:p>
    <w:p>
      <w:pPr>
        <w:numPr>
          <w:ilvl w:val="0"/>
          <w:numId w:val="1016"/>
        </w:numPr>
        <w:pStyle w:val="Compact"/>
      </w:pPr>
      <w:r>
        <w:t xml:space="preserve">**Illustrative Data:** The use of assumed values for BOM details, transport distances, energy usage, and end-of-life parameters means the numerical results are indicative rather than definitive.</w:t>
      </w:r>
    </w:p>
    <w:p>
      <w:pPr>
        <w:numPr>
          <w:ilvl w:val="0"/>
          <w:numId w:val="1016"/>
        </w:numPr>
        <w:pStyle w:val="Compact"/>
      </w:pPr>
      <w:r>
        <w:t xml:space="preserve">**Generic Emission Factors:** While sourced from industry standards like Ecoinvent/DEFRA, generic emission factors may not perfectly reflect supplier-specific or region-specific processes.</w:t>
      </w:r>
    </w:p>
    <w:p>
      <w:pPr>
        <w:numPr>
          <w:ilvl w:val="0"/>
          <w:numId w:val="1016"/>
        </w:numPr>
        <w:pStyle w:val="Compact"/>
      </w:pPr>
      <w:r>
        <w:t xml:space="preserve">**LSR Standard:** Due to the product type and data availability, the LSR Standard\'s application is discussed qualitatively rather than quantitatively, emphasizing future data collection needs.</w:t>
      </w:r>
    </w:p>
    <w:p>
      <w:pPr>
        <w:numPr>
          <w:ilvl w:val="0"/>
          <w:numId w:val="1016"/>
        </w:numPr>
        <w:pStyle w:val="Compact"/>
      </w:pPr>
      <w:r>
        <w:t xml:space="preserve">**Scope 3 Coverage:** While aiming for &gt;95% coverage conceptually, the actual data sources used for the illustrative calculations are simplified.</w:t>
      </w:r>
    </w:p>
    <w:p>
      <w:r>
        <w:pict>
          <v:rect style="width:0;height:1.5pt" o:hralign="center" o:hrstd="t" o:hr="t"/>
        </w:pict>
      </w:r>
    </w:p>
    <w:bookmarkEnd w:id="47"/>
    <w:bookmarkEnd w:id="48"/>
    <w:bookmarkStart w:id="49" w:name="conclusion-and-recommendations"/>
    <w:p>
      <w:pPr>
        <w:pStyle w:val="Heading2"/>
      </w:pPr>
      <w:r>
        <w:t xml:space="preserve">Conclusion and Recommendations</w:t>
      </w:r>
    </w:p>
    <w:p>
      <w:pPr>
        <w:pStyle w:val="FirstParagraph"/>
      </w:pPr>
      <w:r>
        <w:t xml:space="preserve">The Product Carbon Footprint for one unit of emqvtqdoud (Smart Home Hub) is calculated to be</w:t>
      </w:r>
      <w:r>
        <w:t xml:space="preserve"> </w:t>
      </w:r>
      <w:r>
        <w:rPr>
          <w:bCs/>
          <w:b/>
        </w:rPr>
        <w:t xml:space="preserve">8.46 kgCO2e</w:t>
      </w:r>
      <w:r>
        <w:t xml:space="preserve">. The analysis clearly identifies upstream material acquisition and the product\'s use phase as the most significant contributors to the overall footprint.</w:t>
      </w:r>
    </w:p>
    <w:p>
      <w:pPr>
        <w:pStyle w:val="BodyText"/>
      </w:pPr>
      <w:r>
        <w:rPr>
          <w:bCs/>
          <w:b/>
        </w:rPr>
        <w:t xml:space="preserve">Recommendations for xxjxggqlgy:</w:t>
      </w:r>
    </w:p>
    <w:p>
      <w:pPr>
        <w:numPr>
          <w:ilvl w:val="0"/>
          <w:numId w:val="1017"/>
        </w:numPr>
        <w:pStyle w:val="Compact"/>
      </w:pPr>
      <w:r>
        <w:rPr>
          <w:bCs/>
          <w:b/>
        </w:rPr>
        <w:t xml:space="preserve">Material Decarbonization:</w:t>
      </w:r>
      <w:r>
        <w:t xml:space="preserve"> </w:t>
      </w:r>
      <w:r>
        <w:t xml:space="preserve">Prioritize engagement with suppliers for high-impact components (e.g., battery, PCB, plastics) to obtain primary emission data and explore lower-carbon material alternatives, including recycled content with verified environmental benefits.</w:t>
      </w:r>
    </w:p>
    <w:p>
      <w:pPr>
        <w:numPr>
          <w:ilvl w:val="0"/>
          <w:numId w:val="1017"/>
        </w:numPr>
        <w:pStyle w:val="Compact"/>
      </w:pPr>
      <w:r>
        <w:rPr>
          <w:bCs/>
          <w:b/>
        </w:rPr>
        <w:t xml:space="preserve">Energy Efficiency in Use Phase:</w:t>
      </w:r>
      <w:r>
        <w:t xml:space="preserve"> </w:t>
      </w:r>
      <w:r>
        <w:t xml:space="preserve">Invest in R&amp;D to further reduce the product\'s energy consumption during its operational lifespan. Explore smart power management features and educate consumers on energy-saving practices.</w:t>
      </w:r>
    </w:p>
    <w:p>
      <w:pPr>
        <w:numPr>
          <w:ilvl w:val="0"/>
          <w:numId w:val="1017"/>
        </w:numPr>
        <w:pStyle w:val="Compact"/>
      </w:pPr>
      <w:r>
        <w:rPr>
          <w:bCs/>
          <w:b/>
        </w:rPr>
        <w:t xml:space="preserve">Renewable Energy Sourcing:</w:t>
      </w:r>
      <w:r>
        <w:t xml:space="preserve"> </w:t>
      </w:r>
      <w:r>
        <w:t xml:space="preserve">Increase the percentage of renewable energy used in manufacturing facilities in China. Explore options like Power Purchase Agreements (PPAs) or on-site renewable energy generation to reduce Scope 2 emissions.</w:t>
      </w:r>
    </w:p>
    <w:p>
      <w:pPr>
        <w:numPr>
          <w:ilvl w:val="0"/>
          <w:numId w:val="1017"/>
        </w:numPr>
        <w:pStyle w:val="Compact"/>
      </w:pPr>
      <w:r>
        <w:rPr>
          <w:bCs/>
          <w:b/>
        </w:rPr>
        <w:t xml:space="preserve">Supply Chain Optimization:</w:t>
      </w:r>
      <w:r>
        <w:t xml:space="preserve"> </w:t>
      </w:r>
      <w:r>
        <w:t xml:space="preserve">Optimize logistics, potentially exploring closer-to-market manufacturing or more efficient transport modes to reduce transport emissions, especially for the longer ocean freight legs.</w:t>
      </w:r>
    </w:p>
    <w:p>
      <w:pPr>
        <w:numPr>
          <w:ilvl w:val="0"/>
          <w:numId w:val="1017"/>
        </w:numPr>
        <w:pStyle w:val="Compact"/>
      </w:pPr>
      <w:r>
        <w:rPr>
          <w:bCs/>
          <w:b/>
        </w:rPr>
        <w:t xml:space="preserve">Enhance Circularity:</w:t>
      </w:r>
      <w:r>
        <w:t xml:space="preserve"> </w:t>
      </w:r>
      <w:r>
        <w:t xml:space="preserve">Continue to strengthen circular economy initiatives, particularly the take-back program. Explore opportunities for component reuse and remanufacturing to maximize avoided emissions at end-of-life.</w:t>
      </w:r>
    </w:p>
    <w:p>
      <w:pPr>
        <w:numPr>
          <w:ilvl w:val="0"/>
          <w:numId w:val="1017"/>
        </w:numPr>
        <w:pStyle w:val="Compact"/>
      </w:pPr>
      <w:r>
        <w:rPr>
          <w:bCs/>
          <w:b/>
        </w:rPr>
        <w:t xml:space="preserve">Data Granularity:</w:t>
      </w:r>
      <w:r>
        <w:t xml:space="preserve"> </w:t>
      </w:r>
      <w:r>
        <w:t xml:space="preserve">For future PCF analyses, collect more granular, primary data for all parameters from suppliers and internal operations to improve accuracy and ensure full compliance with future GHG Protocol reporting requirements. This includes specific land-use data if materials are linked to land-intensive industries to fully apply the LSR Standard.</w:t>
      </w:r>
    </w:p>
    <w:p>
      <w:pPr>
        <w:pStyle w:val="FirstParagraph"/>
      </w:pPr>
      <w:r>
        <w:t xml:space="preserve">By focusing on these areas, xxjxggqlgy can significantly reduce the environmental impact of its emqvtqdoud product line and demonstrate leadership in sustainability.</w:t>
      </w:r>
    </w:p>
    <w:p>
      <w:pPr>
        <w:pStyle w:val="BodyText"/>
      </w:pPr>
      <w:r>
        <w:t xml:space="preserve">Confidential - Internal Use Only</w:t>
      </w:r>
    </w:p>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Hub (emqvtqdoud)</dc:title>
  <dc:creator/>
  <dc:description>Detailed Product Carbon Footprint (PCF) analysis report for emqvtqdoud (Smart Home Hub) by xxjxggqlgy, following GHG Protocol standards.</dc:description>
  <dc:language>en</dc:language>
  <cp:keywords/>
  <dcterms:created xsi:type="dcterms:W3CDTF">2026-05-30T21:12:30Z</dcterms:created>
  <dcterms:modified xsi:type="dcterms:W3CDTF">2026-05-30T21:12:30Z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